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E1B00" w14:textId="77777777" w:rsidR="0057497D" w:rsidRPr="004249BC" w:rsidRDefault="0030336E" w:rsidP="00737F33">
      <w:pPr>
        <w:contextualSpacing/>
        <w:rPr>
          <w:b/>
        </w:rPr>
      </w:pPr>
      <w:r>
        <w:rPr>
          <w:noProof/>
        </w:rPr>
        <w:drawing>
          <wp:inline distT="0" distB="0" distL="0" distR="0" wp14:anchorId="1E5DCC66" wp14:editId="5E854206">
            <wp:extent cx="2589764" cy="534691"/>
            <wp:effectExtent l="0" t="0" r="1270" b="0"/>
            <wp:docPr id="3" name="Picture 3" descr="Logo:  Minnesota Department of Labor and Industry"/>
            <wp:cNvGraphicFramePr/>
            <a:graphic xmlns:a="http://schemas.openxmlformats.org/drawingml/2006/main">
              <a:graphicData uri="http://schemas.openxmlformats.org/drawingml/2006/picture">
                <pic:pic xmlns:pic="http://schemas.openxmlformats.org/drawingml/2006/picture">
                  <pic:nvPicPr>
                    <pic:cNvPr id="3" name="Picture 3" descr="Logo:  Minnesota Department of Labor and Industry"/>
                    <pic:cNvPicPr/>
                  </pic:nvPicPr>
                  <pic:blipFill>
                    <a:blip r:embed="rId11">
                      <a:extLst>
                        <a:ext uri="{28A0092B-C50C-407E-A947-70E740481C1C}">
                          <a14:useLocalDpi xmlns:a14="http://schemas.microsoft.com/office/drawing/2010/main" val="0"/>
                        </a:ext>
                      </a:extLst>
                    </a:blip>
                    <a:stretch>
                      <a:fillRect/>
                    </a:stretch>
                  </pic:blipFill>
                  <pic:spPr>
                    <a:xfrm>
                      <a:off x="0" y="0"/>
                      <a:ext cx="2589764" cy="534691"/>
                    </a:xfrm>
                    <a:prstGeom prst="rect">
                      <a:avLst/>
                    </a:prstGeom>
                  </pic:spPr>
                </pic:pic>
              </a:graphicData>
            </a:graphic>
          </wp:inline>
        </w:drawing>
      </w:r>
    </w:p>
    <w:p w14:paraId="2002E1FD" w14:textId="7F776619" w:rsidR="007A6E68" w:rsidRPr="00C11A01" w:rsidRDefault="34F3931C" w:rsidP="47FCDBE1">
      <w:pPr>
        <w:rPr>
          <w:rFonts w:eastAsiaTheme="majorEastAsia"/>
          <w:color w:val="A6192E"/>
          <w:lang w:val="en-US"/>
        </w:rPr>
      </w:pPr>
      <w:r w:rsidRPr="00C11A01">
        <w:rPr>
          <w:color w:val="A6192E"/>
          <w:lang w:val="en-US"/>
        </w:rPr>
        <w:t>[</w:t>
      </w:r>
      <w:r w:rsidRPr="00C11A01">
        <w:rPr>
          <w:b/>
          <w:color w:val="A6192E"/>
          <w:lang w:val="en-US"/>
        </w:rPr>
        <w:t>Employers</w:t>
      </w:r>
      <w:r w:rsidRPr="00C11A01">
        <w:rPr>
          <w:color w:val="A6192E"/>
          <w:lang w:val="en-US"/>
        </w:rPr>
        <w:t xml:space="preserve">: This is a sample employee notice employers can use to inform their employees about earned sick and safe time as required under </w:t>
      </w:r>
      <w:hyperlink r:id="rId12" w:anchor="laws.12.1.0" w:history="1">
        <w:r w:rsidRPr="00C11A01">
          <w:rPr>
            <w:rStyle w:val="Hyperlink"/>
            <w:lang w:val="en-US"/>
          </w:rPr>
          <w:t>Minnesota Statutes § 181.9447, subdivision 9</w:t>
        </w:r>
      </w:hyperlink>
      <w:r w:rsidRPr="00C11A01">
        <w:rPr>
          <w:color w:val="A6192E"/>
          <w:lang w:val="en-US"/>
        </w:rPr>
        <w:t>. Instructions for completing this notice are in brackets. Delete all instructions before providing this to the employee.]</w:t>
      </w:r>
    </w:p>
    <w:p w14:paraId="6A38340A" w14:textId="35680D7C" w:rsidR="00101F7E" w:rsidRPr="004249BC" w:rsidRDefault="0079713F" w:rsidP="008246E6">
      <w:pPr>
        <w:pStyle w:val="Heading1"/>
        <w:rPr>
          <w:rFonts w:eastAsiaTheme="majorEastAsia"/>
        </w:rPr>
      </w:pPr>
      <w:r>
        <w:t>Aviso de tiempo ganado de enfermedad y seguridad</w:t>
      </w:r>
    </w:p>
    <w:p w14:paraId="769CAC53" w14:textId="4CA7887E" w:rsidR="004725C6" w:rsidRPr="00C11A01" w:rsidRDefault="000C7561" w:rsidP="006355F4">
      <w:pPr>
        <w:rPr>
          <w:rFonts w:eastAsiaTheme="majorEastAsia"/>
          <w:lang w:val="en-US"/>
        </w:rPr>
      </w:pPr>
      <w:r>
        <w:t xml:space="preserve">Los empleados en Minnesota tienen derecho a tiempo ganado de enfermedad y seguridad, que es una forma de licencia remunerada. Los empleados deben acumular al menos una hora de tiempo de enfermedad y seguridad por cada 30 horas que trabajen, hasta al menos 48 horas en un año. </w:t>
      </w:r>
      <w:r w:rsidRPr="00C11A01">
        <w:rPr>
          <w:color w:val="C00000"/>
          <w:lang w:val="en-US"/>
        </w:rPr>
        <w:t>[If you are using a more generous accrual system or a front-loading system, edit the previous sentence and insert the applicable system for the employee who will receive this notice.]</w:t>
      </w:r>
      <w:r w:rsidRPr="00C11A01">
        <w:rPr>
          <w:lang w:val="en-US"/>
        </w:rPr>
        <w:t xml:space="preserve"> </w:t>
      </w:r>
      <w:r>
        <w:t xml:space="preserve">Un año para efectos de la acumulación de tiempo de enfermedad y seguridad del empleado equivale a: </w:t>
      </w:r>
      <w:bookmarkStart w:id="0" w:name="_Hlk149587645"/>
      <w:r>
        <w:rPr>
          <w:color w:val="C00000"/>
        </w:rPr>
        <w:t xml:space="preserve">[Note </w:t>
      </w:r>
      <w:proofErr w:type="spellStart"/>
      <w:r>
        <w:rPr>
          <w:color w:val="C00000"/>
        </w:rPr>
        <w:t>here</w:t>
      </w:r>
      <w:proofErr w:type="spellEnd"/>
      <w:r>
        <w:rPr>
          <w:color w:val="C00000"/>
        </w:rPr>
        <w:t xml:space="preserve"> </w:t>
      </w:r>
      <w:proofErr w:type="spellStart"/>
      <w:r>
        <w:rPr>
          <w:color w:val="C00000"/>
        </w:rPr>
        <w:t>how</w:t>
      </w:r>
      <w:proofErr w:type="spellEnd"/>
      <w:r>
        <w:rPr>
          <w:color w:val="C00000"/>
        </w:rPr>
        <w:t xml:space="preserve"> </w:t>
      </w:r>
      <w:proofErr w:type="spellStart"/>
      <w:r>
        <w:rPr>
          <w:color w:val="C00000"/>
        </w:rPr>
        <w:t>you</w:t>
      </w:r>
      <w:proofErr w:type="spellEnd"/>
      <w:r>
        <w:rPr>
          <w:color w:val="C00000"/>
        </w:rPr>
        <w:t xml:space="preserve"> define </w:t>
      </w:r>
      <w:proofErr w:type="spellStart"/>
      <w:r>
        <w:rPr>
          <w:color w:val="C00000"/>
        </w:rPr>
        <w:t>the</w:t>
      </w:r>
      <w:proofErr w:type="spellEnd"/>
      <w:r>
        <w:rPr>
          <w:color w:val="C00000"/>
        </w:rPr>
        <w:t xml:space="preserve"> </w:t>
      </w:r>
      <w:proofErr w:type="spellStart"/>
      <w:r>
        <w:rPr>
          <w:color w:val="C00000"/>
        </w:rPr>
        <w:t>accrual</w:t>
      </w:r>
      <w:proofErr w:type="spellEnd"/>
      <w:r>
        <w:rPr>
          <w:color w:val="C00000"/>
        </w:rPr>
        <w:t xml:space="preserve"> </w:t>
      </w:r>
      <w:proofErr w:type="spellStart"/>
      <w:r>
        <w:rPr>
          <w:color w:val="C00000"/>
        </w:rPr>
        <w:t>or</w:t>
      </w:r>
      <w:proofErr w:type="spellEnd"/>
      <w:r>
        <w:rPr>
          <w:color w:val="C00000"/>
        </w:rPr>
        <w:t xml:space="preserve"> </w:t>
      </w:r>
      <w:proofErr w:type="spellStart"/>
      <w:r>
        <w:rPr>
          <w:color w:val="C00000"/>
        </w:rPr>
        <w:t>benefit</w:t>
      </w:r>
      <w:proofErr w:type="spellEnd"/>
      <w:r>
        <w:rPr>
          <w:color w:val="C00000"/>
        </w:rPr>
        <w:t xml:space="preserve"> </w:t>
      </w:r>
      <w:proofErr w:type="spellStart"/>
      <w:r>
        <w:rPr>
          <w:color w:val="C00000"/>
        </w:rPr>
        <w:t>year</w:t>
      </w:r>
      <w:proofErr w:type="spellEnd"/>
      <w:r>
        <w:rPr>
          <w:color w:val="C00000"/>
        </w:rPr>
        <w:t xml:space="preserve"> </w:t>
      </w:r>
      <w:proofErr w:type="spellStart"/>
      <w:r>
        <w:rPr>
          <w:color w:val="C00000"/>
        </w:rPr>
        <w:t>for</w:t>
      </w:r>
      <w:proofErr w:type="spellEnd"/>
      <w:r>
        <w:rPr>
          <w:color w:val="C00000"/>
        </w:rPr>
        <w:t xml:space="preserve"> </w:t>
      </w:r>
      <w:proofErr w:type="spellStart"/>
      <w:r>
        <w:rPr>
          <w:color w:val="C00000"/>
        </w:rPr>
        <w:t>the</w:t>
      </w:r>
      <w:proofErr w:type="spellEnd"/>
      <w:r>
        <w:rPr>
          <w:color w:val="C00000"/>
        </w:rPr>
        <w:t xml:space="preserve"> </w:t>
      </w:r>
      <w:proofErr w:type="spellStart"/>
      <w:r>
        <w:rPr>
          <w:color w:val="C00000"/>
        </w:rPr>
        <w:t>employee</w:t>
      </w:r>
      <w:proofErr w:type="spellEnd"/>
      <w:r>
        <w:rPr>
          <w:color w:val="C00000"/>
        </w:rPr>
        <w:t xml:space="preserve">. </w:t>
      </w:r>
      <w:r w:rsidRPr="00C11A01">
        <w:rPr>
          <w:color w:val="C00000"/>
          <w:lang w:val="en-US"/>
        </w:rPr>
        <w:t>Examples include the calendar year, year by work anniversary or another 12-month period.]</w:t>
      </w:r>
      <w:bookmarkEnd w:id="0"/>
    </w:p>
    <w:p w14:paraId="737866C9" w14:textId="1A1E2B60" w:rsidR="0079713F" w:rsidRPr="004249BC" w:rsidRDefault="007B2FB4" w:rsidP="0079713F">
      <w:pPr>
        <w:rPr>
          <w:rFonts w:eastAsiaTheme="majorEastAsia"/>
        </w:rPr>
      </w:pPr>
      <w:r>
        <w:t>Las horas acumuladas por enfermedad y seguridad que el empleado tiene disponibles, así como aquellas que se han utilizado en el período de pago más reciente, deben indicarse en la declaración de ingresos del empleado que recibe al final de cada período de pago. El tiempo de enfermedad y seguridad ganado debe pagarse a la misma tarifa por hora que los empleados ganan en su empleo. Los empleados no están obligados a buscar ni encontrar un reemplazo para su turno con el fin de utilizar el tiempo de enfermedad y seguridad ganado. Pueden utilizar el tiempo ganado por enfermedad y seguridad durante todo un turno o parte del turno, según su necesidad.</w:t>
      </w:r>
    </w:p>
    <w:p w14:paraId="383AF2DA" w14:textId="77777777" w:rsidR="0079713F" w:rsidRPr="004249BC" w:rsidRDefault="0079713F" w:rsidP="0079713F">
      <w:pPr>
        <w:rPr>
          <w:rFonts w:eastAsiaTheme="majorEastAsia"/>
        </w:rPr>
      </w:pPr>
      <w:r>
        <w:t>El tiempo de enfermedad y seguridad ganado se puede utilizar para:</w:t>
      </w:r>
    </w:p>
    <w:p w14:paraId="09059BE1" w14:textId="29C81D1B" w:rsidR="0079713F" w:rsidRPr="004249BC" w:rsidRDefault="00C018F2" w:rsidP="0079713F">
      <w:pPr>
        <w:pStyle w:val="ListParagraph"/>
        <w:rPr>
          <w:rFonts w:eastAsiaTheme="majorEastAsia"/>
        </w:rPr>
      </w:pPr>
      <w:r>
        <w:t>la enfermedad física o mental, el tratamiento o la atención preventiva de un empleado;</w:t>
      </w:r>
    </w:p>
    <w:p w14:paraId="5B8ED72A" w14:textId="101BEC0C" w:rsidR="0079713F" w:rsidRPr="004249BC" w:rsidRDefault="00C018F2" w:rsidP="0079713F">
      <w:pPr>
        <w:pStyle w:val="ListParagraph"/>
        <w:rPr>
          <w:rFonts w:eastAsiaTheme="majorEastAsia"/>
        </w:rPr>
      </w:pPr>
      <w:r>
        <w:t>la enfermedad física o mental, el tratamiento o la atención preventiva de un familiar de un empleado;</w:t>
      </w:r>
    </w:p>
    <w:p w14:paraId="0473BD09" w14:textId="64B78DC6" w:rsidR="0079713F" w:rsidRPr="004249BC" w:rsidRDefault="0079713F" w:rsidP="0079713F">
      <w:pPr>
        <w:pStyle w:val="ListParagraph"/>
        <w:rPr>
          <w:rFonts w:eastAsiaTheme="majorEastAsia"/>
        </w:rPr>
      </w:pPr>
      <w:r>
        <w:t>la ausencia debido a abuso doméstico, agresión sexual o acoso a un empleado o su familiar;</w:t>
      </w:r>
    </w:p>
    <w:p w14:paraId="52EF6BD8" w14:textId="7AE3A934" w:rsidR="0079713F" w:rsidRPr="004249BC" w:rsidRDefault="0079713F" w:rsidP="0079713F">
      <w:pPr>
        <w:pStyle w:val="ListParagraph"/>
        <w:rPr>
          <w:rFonts w:eastAsiaTheme="majorEastAsia"/>
        </w:rPr>
      </w:pPr>
      <w:r>
        <w:t>el cierre del lugar de trabajo de un empleado debido al clima o emergencia pública, o cierre de la escuela o centro de cuidado de su familiar debido al clima o emergencia pública; y</w:t>
      </w:r>
    </w:p>
    <w:p w14:paraId="5D93492F" w14:textId="40EA60F3" w:rsidR="00885C42" w:rsidRPr="004249BC" w:rsidRDefault="0079713F" w:rsidP="00885C42">
      <w:pPr>
        <w:pStyle w:val="ListParagraph"/>
        <w:rPr>
          <w:rFonts w:eastAsiaTheme="majorEastAsia"/>
        </w:rPr>
      </w:pPr>
      <w:r>
        <w:t>cuando una autoridad sanitaria o un profesional de la salud determine que un empleado o un miembro de su familia corre el riesgo de infectar a otros con una enfermedad transmisible.</w:t>
      </w:r>
    </w:p>
    <w:p w14:paraId="6B70526E" w14:textId="625F6029" w:rsidR="007A6E68" w:rsidRPr="004249BC" w:rsidRDefault="007A6E68" w:rsidP="007A6E68">
      <w:pPr>
        <w:pStyle w:val="Heading2"/>
      </w:pPr>
      <w:r>
        <w:t>Notificar al empleador, documentación</w:t>
      </w:r>
    </w:p>
    <w:p w14:paraId="62C786F6" w14:textId="77777777" w:rsidR="0016797E" w:rsidRDefault="0016797E" w:rsidP="47FCDBE1">
      <w:r w:rsidRPr="0016797E">
        <w:t>Un empleador puede requerir que sus empleados proporcionen hasta siete días de aviso previo cuando sea posible (por ejemplo, cuando un empleado tiene una cita médica programada con anticipación) antes de usar tiempo de enfermedad y seguridad. Un empleador también puede requerir que sus empleados proporcionen cierta documentación sobre la razón de su uso del tiempo de enfermedad y seguridad ganado si lo usan por más de dos días de trabajo consecutivos programados.</w:t>
      </w:r>
      <w:r w:rsidRPr="0016797E">
        <w:t xml:space="preserve"> </w:t>
      </w:r>
    </w:p>
    <w:p w14:paraId="516D3CE7" w14:textId="308B1593" w:rsidR="007A6E68" w:rsidRPr="004249BC" w:rsidRDefault="003343A6" w:rsidP="47FCDBE1">
      <w:pPr>
        <w:rPr>
          <w:rFonts w:eastAsiaTheme="majorEastAsia"/>
        </w:rPr>
      </w:pPr>
      <w:r w:rsidRPr="00C11A01">
        <w:rPr>
          <w:color w:val="C00000"/>
          <w:lang w:val="en-US"/>
        </w:rPr>
        <w:t xml:space="preserve">[The following is an example of an employer policy for employees to provide notice before using earned sick and safe time. </w:t>
      </w:r>
      <w:proofErr w:type="spellStart"/>
      <w:r>
        <w:rPr>
          <w:color w:val="C00000"/>
        </w:rPr>
        <w:t>Edit</w:t>
      </w:r>
      <w:proofErr w:type="spellEnd"/>
      <w:r>
        <w:rPr>
          <w:color w:val="C00000"/>
        </w:rPr>
        <w:t xml:space="preserve"> </w:t>
      </w:r>
      <w:proofErr w:type="spellStart"/>
      <w:r>
        <w:rPr>
          <w:color w:val="C00000"/>
        </w:rPr>
        <w:t>the</w:t>
      </w:r>
      <w:proofErr w:type="spellEnd"/>
      <w:r>
        <w:rPr>
          <w:color w:val="C00000"/>
        </w:rPr>
        <w:t xml:space="preserve"> </w:t>
      </w:r>
      <w:proofErr w:type="spellStart"/>
      <w:r>
        <w:rPr>
          <w:color w:val="C00000"/>
        </w:rPr>
        <w:t>following</w:t>
      </w:r>
      <w:proofErr w:type="spellEnd"/>
      <w:r>
        <w:rPr>
          <w:color w:val="C00000"/>
        </w:rPr>
        <w:t xml:space="preserve"> </w:t>
      </w:r>
      <w:proofErr w:type="spellStart"/>
      <w:r>
        <w:rPr>
          <w:color w:val="C00000"/>
        </w:rPr>
        <w:t>text</w:t>
      </w:r>
      <w:proofErr w:type="spellEnd"/>
      <w:r>
        <w:rPr>
          <w:color w:val="C00000"/>
        </w:rPr>
        <w:t xml:space="preserve"> </w:t>
      </w:r>
      <w:proofErr w:type="spellStart"/>
      <w:r>
        <w:rPr>
          <w:color w:val="C00000"/>
        </w:rPr>
        <w:t>to</w:t>
      </w:r>
      <w:proofErr w:type="spellEnd"/>
      <w:r>
        <w:rPr>
          <w:color w:val="C00000"/>
        </w:rPr>
        <w:t xml:space="preserve"> match </w:t>
      </w:r>
      <w:proofErr w:type="spellStart"/>
      <w:r>
        <w:rPr>
          <w:color w:val="C00000"/>
        </w:rPr>
        <w:t>your</w:t>
      </w:r>
      <w:proofErr w:type="spellEnd"/>
      <w:r>
        <w:rPr>
          <w:color w:val="C00000"/>
        </w:rPr>
        <w:t xml:space="preserve"> </w:t>
      </w:r>
      <w:proofErr w:type="spellStart"/>
      <w:r>
        <w:rPr>
          <w:color w:val="C00000"/>
        </w:rPr>
        <w:t>company’s</w:t>
      </w:r>
      <w:proofErr w:type="spellEnd"/>
      <w:r>
        <w:rPr>
          <w:color w:val="C00000"/>
        </w:rPr>
        <w:t xml:space="preserve"> </w:t>
      </w:r>
      <w:proofErr w:type="spellStart"/>
      <w:r>
        <w:rPr>
          <w:color w:val="C00000"/>
        </w:rPr>
        <w:t>policy</w:t>
      </w:r>
      <w:proofErr w:type="spellEnd"/>
      <w:r>
        <w:rPr>
          <w:color w:val="C00000"/>
        </w:rPr>
        <w:t>.]</w:t>
      </w:r>
      <w:r>
        <w:t xml:space="preserve"> Si un empleado planea utilizar el tiempo de </w:t>
      </w:r>
      <w:r>
        <w:lastRenderedPageBreak/>
        <w:t xml:space="preserve">enfermedad y seguridad ganado para una cita, atención preventiva u otra razón permitida que conozca de antemano, informe </w:t>
      </w:r>
      <w:bookmarkStart w:id="1" w:name="_Hlk152141563"/>
      <w:r>
        <w:rPr>
          <w:color w:val="A6192E"/>
        </w:rPr>
        <w:t>[</w:t>
      </w:r>
      <w:r>
        <w:t>a</w:t>
      </w:r>
      <w:r>
        <w:rPr>
          <w:color w:val="A6192E"/>
        </w:rPr>
        <w:t xml:space="preserve"> </w:t>
      </w:r>
      <w:proofErr w:type="spellStart"/>
      <w:r>
        <w:rPr>
          <w:color w:val="A6192E"/>
        </w:rPr>
        <w:t>name</w:t>
      </w:r>
      <w:proofErr w:type="spellEnd"/>
      <w:r>
        <w:t xml:space="preserve"> </w:t>
      </w:r>
      <w:proofErr w:type="spellStart"/>
      <w:r>
        <w:rPr>
          <w:color w:val="A6192E"/>
        </w:rPr>
        <w:t>or</w:t>
      </w:r>
      <w:proofErr w:type="spellEnd"/>
      <w:r>
        <w:rPr>
          <w:color w:val="A6192E"/>
        </w:rPr>
        <w:t xml:space="preserve"> </w:t>
      </w:r>
      <w:proofErr w:type="gramStart"/>
      <w:r>
        <w:t xml:space="preserve">al </w:t>
      </w:r>
      <w:r>
        <w:rPr>
          <w:color w:val="A6192E"/>
        </w:rPr>
        <w:t>position</w:t>
      </w:r>
      <w:proofErr w:type="gramEnd"/>
      <w:r>
        <w:rPr>
          <w:color w:val="A6192E"/>
        </w:rPr>
        <w:t>]</w:t>
      </w:r>
      <w:bookmarkEnd w:id="1"/>
      <w:r>
        <w:rPr>
          <w:color w:val="FF0000"/>
        </w:rPr>
        <w:t xml:space="preserve"> </w:t>
      </w:r>
      <w:bookmarkStart w:id="2" w:name="_Hlk152141600"/>
      <w:r>
        <w:rPr>
          <w:color w:val="A6192E"/>
        </w:rPr>
        <w:t>[</w:t>
      </w:r>
      <w:r>
        <w:t xml:space="preserve">al </w:t>
      </w:r>
      <w:proofErr w:type="spellStart"/>
      <w:r>
        <w:rPr>
          <w:color w:val="A6192E"/>
        </w:rPr>
        <w:t>phone</w:t>
      </w:r>
      <w:proofErr w:type="spellEnd"/>
      <w:r>
        <w:rPr>
          <w:color w:val="A6192E"/>
        </w:rPr>
        <w:t xml:space="preserve">, </w:t>
      </w:r>
      <w:r>
        <w:t xml:space="preserve">en el </w:t>
      </w:r>
      <w:r>
        <w:rPr>
          <w:color w:val="A6192E"/>
        </w:rPr>
        <w:t xml:space="preserve">email </w:t>
      </w:r>
      <w:proofErr w:type="spellStart"/>
      <w:r>
        <w:rPr>
          <w:color w:val="A6192E"/>
        </w:rPr>
        <w:t>or</w:t>
      </w:r>
      <w:proofErr w:type="spellEnd"/>
      <w:r>
        <w:rPr>
          <w:color w:val="A6192E"/>
        </w:rPr>
        <w:t xml:space="preserve"> </w:t>
      </w:r>
      <w:r>
        <w:t>en</w:t>
      </w:r>
      <w:r>
        <w:rPr>
          <w:color w:val="A6192E"/>
        </w:rPr>
        <w:t xml:space="preserve"> </w:t>
      </w:r>
      <w:proofErr w:type="spellStart"/>
      <w:r>
        <w:rPr>
          <w:color w:val="A6192E"/>
        </w:rPr>
        <w:t>other</w:t>
      </w:r>
      <w:proofErr w:type="spellEnd"/>
      <w:r>
        <w:rPr>
          <w:color w:val="A6192E"/>
        </w:rPr>
        <w:t xml:space="preserve"> </w:t>
      </w:r>
      <w:proofErr w:type="spellStart"/>
      <w:r>
        <w:rPr>
          <w:color w:val="A6192E"/>
        </w:rPr>
        <w:t>communication</w:t>
      </w:r>
      <w:proofErr w:type="spellEnd"/>
      <w:r>
        <w:rPr>
          <w:color w:val="A6192E"/>
        </w:rPr>
        <w:t>]</w:t>
      </w:r>
      <w:r>
        <w:rPr>
          <w:color w:val="FF0000"/>
        </w:rPr>
        <w:t xml:space="preserve"> </w:t>
      </w:r>
      <w:bookmarkEnd w:id="2"/>
      <w:r>
        <w:t xml:space="preserve">con la mayor antelación posible, pero al menos con </w:t>
      </w:r>
      <w:r>
        <w:rPr>
          <w:color w:val="A6192E"/>
        </w:rPr>
        <w:t>[</w:t>
      </w:r>
      <w:proofErr w:type="spellStart"/>
      <w:r>
        <w:rPr>
          <w:color w:val="A6192E"/>
        </w:rPr>
        <w:t>number</w:t>
      </w:r>
      <w:proofErr w:type="spellEnd"/>
      <w:r>
        <w:rPr>
          <w:color w:val="A6192E"/>
        </w:rPr>
        <w:t xml:space="preserve"> </w:t>
      </w:r>
      <w:proofErr w:type="spellStart"/>
      <w:r>
        <w:rPr>
          <w:color w:val="A6192E"/>
        </w:rPr>
        <w:t>between</w:t>
      </w:r>
      <w:proofErr w:type="spellEnd"/>
      <w:r>
        <w:rPr>
          <w:color w:val="A6192E"/>
        </w:rPr>
        <w:t xml:space="preserve"> </w:t>
      </w:r>
      <w:proofErr w:type="spellStart"/>
      <w:r>
        <w:rPr>
          <w:color w:val="A6192E"/>
        </w:rPr>
        <w:t>one</w:t>
      </w:r>
      <w:proofErr w:type="spellEnd"/>
      <w:r>
        <w:rPr>
          <w:color w:val="A6192E"/>
        </w:rPr>
        <w:t xml:space="preserve"> and </w:t>
      </w:r>
      <w:proofErr w:type="spellStart"/>
      <w:r>
        <w:rPr>
          <w:color w:val="A6192E"/>
        </w:rPr>
        <w:t>seven</w:t>
      </w:r>
      <w:proofErr w:type="spellEnd"/>
      <w:r>
        <w:rPr>
          <w:color w:val="A6192E"/>
        </w:rPr>
        <w:t>]</w:t>
      </w:r>
      <w:r>
        <w:rPr>
          <w:color w:val="FF0000"/>
        </w:rPr>
        <w:t xml:space="preserve"> </w:t>
      </w:r>
      <w:r>
        <w:t xml:space="preserve">días de antelación. En situaciones en las que un empleado no puede avisar con antelación, el empleado debe comunicarse </w:t>
      </w:r>
      <w:r>
        <w:rPr>
          <w:color w:val="A6192E"/>
        </w:rPr>
        <w:t>[</w:t>
      </w:r>
      <w:r>
        <w:t>con</w:t>
      </w:r>
      <w:r>
        <w:rPr>
          <w:color w:val="A6192E"/>
        </w:rPr>
        <w:t xml:space="preserve"> </w:t>
      </w:r>
      <w:proofErr w:type="spellStart"/>
      <w:r>
        <w:rPr>
          <w:color w:val="A6192E"/>
        </w:rPr>
        <w:t>name</w:t>
      </w:r>
      <w:proofErr w:type="spellEnd"/>
      <w:r>
        <w:rPr>
          <w:color w:val="A6192E"/>
        </w:rPr>
        <w:t xml:space="preserve"> </w:t>
      </w:r>
      <w:proofErr w:type="spellStart"/>
      <w:r>
        <w:rPr>
          <w:color w:val="A6192E"/>
        </w:rPr>
        <w:t>or</w:t>
      </w:r>
      <w:proofErr w:type="spellEnd"/>
      <w:r>
        <w:rPr>
          <w:color w:val="A6192E"/>
        </w:rPr>
        <w:t xml:space="preserve"> </w:t>
      </w:r>
      <w:r>
        <w:t xml:space="preserve">con </w:t>
      </w:r>
      <w:proofErr w:type="gramStart"/>
      <w:r>
        <w:t xml:space="preserve">el </w:t>
      </w:r>
      <w:r>
        <w:rPr>
          <w:color w:val="A6192E"/>
        </w:rPr>
        <w:t>position</w:t>
      </w:r>
      <w:proofErr w:type="gramEnd"/>
      <w:r>
        <w:rPr>
          <w:color w:val="A6192E"/>
        </w:rPr>
        <w:t>]</w:t>
      </w:r>
      <w:r>
        <w:rPr>
          <w:color w:val="FF0000"/>
        </w:rPr>
        <w:t xml:space="preserve"> </w:t>
      </w:r>
      <w:r>
        <w:rPr>
          <w:color w:val="A6192E"/>
        </w:rPr>
        <w:t>[</w:t>
      </w:r>
      <w:r>
        <w:t xml:space="preserve">al </w:t>
      </w:r>
      <w:proofErr w:type="spellStart"/>
      <w:r>
        <w:rPr>
          <w:color w:val="A6192E"/>
        </w:rPr>
        <w:t>phone</w:t>
      </w:r>
      <w:proofErr w:type="spellEnd"/>
      <w:r>
        <w:rPr>
          <w:color w:val="A6192E"/>
        </w:rPr>
        <w:t xml:space="preserve">, </w:t>
      </w:r>
      <w:r>
        <w:t xml:space="preserve">en el </w:t>
      </w:r>
      <w:r>
        <w:rPr>
          <w:color w:val="A6192E"/>
        </w:rPr>
        <w:t xml:space="preserve">email </w:t>
      </w:r>
      <w:proofErr w:type="spellStart"/>
      <w:r>
        <w:rPr>
          <w:color w:val="A6192E"/>
        </w:rPr>
        <w:t>or</w:t>
      </w:r>
      <w:proofErr w:type="spellEnd"/>
      <w:r>
        <w:rPr>
          <w:color w:val="A6192E"/>
        </w:rPr>
        <w:t xml:space="preserve"> </w:t>
      </w:r>
      <w:r>
        <w:t>en</w:t>
      </w:r>
      <w:r>
        <w:rPr>
          <w:color w:val="A6192E"/>
        </w:rPr>
        <w:t xml:space="preserve"> </w:t>
      </w:r>
      <w:proofErr w:type="spellStart"/>
      <w:r>
        <w:rPr>
          <w:color w:val="A6192E"/>
        </w:rPr>
        <w:t>other</w:t>
      </w:r>
      <w:proofErr w:type="spellEnd"/>
      <w:r>
        <w:rPr>
          <w:color w:val="A6192E"/>
        </w:rPr>
        <w:t xml:space="preserve"> </w:t>
      </w:r>
      <w:proofErr w:type="spellStart"/>
      <w:r>
        <w:rPr>
          <w:color w:val="A6192E"/>
        </w:rPr>
        <w:t>communication</w:t>
      </w:r>
      <w:proofErr w:type="spellEnd"/>
      <w:r>
        <w:rPr>
          <w:color w:val="A6192E"/>
        </w:rPr>
        <w:t>]</w:t>
      </w:r>
      <w:r>
        <w:t xml:space="preserve"> tan pronto como sepa que no podrá trabajar.</w:t>
      </w:r>
    </w:p>
    <w:p w14:paraId="7649C416" w14:textId="0C06A722" w:rsidR="007A6E68" w:rsidRPr="004249BC" w:rsidRDefault="007A6E68" w:rsidP="007A6E68">
      <w:pPr>
        <w:pStyle w:val="Heading2"/>
      </w:pPr>
      <w:r>
        <w:t>Represalias, derecho a presentar una queja</w:t>
      </w:r>
    </w:p>
    <w:p w14:paraId="41C2893F" w14:textId="3CAB3C35" w:rsidR="007A6E68" w:rsidRPr="004249BC" w:rsidRDefault="00342EC8" w:rsidP="47FCDBE1">
      <w:pPr>
        <w:rPr>
          <w:rFonts w:eastAsiaTheme="majorEastAsia"/>
        </w:rPr>
      </w:pPr>
      <w:r>
        <w:t>Es contra la ley que un empleador tome represalias o tome medidas negativas contra un empleado por usar o solicitar tiempo de enfermedad y seguridad ganado o de otro modo ejercer sus derechos de tiempo de enfermedad y seguridad ganados según la ley. Si un empleado cree que ha sufrido represalias o se le ha negado indebidamente el tiempo de enfermedad y seguridad ganado, puede presentar una queja ante el Departamento de Trabajo e Industria de Minnesota. También pueden presentar una demanda civil ante el tribunal por infracciones de tiempo de seguridad y enfermedad ganado.</w:t>
      </w:r>
    </w:p>
    <w:p w14:paraId="3DEFF732" w14:textId="2F6A0139" w:rsidR="00885C42" w:rsidRPr="004249BC" w:rsidRDefault="00885C42" w:rsidP="47FCDBE1">
      <w:pPr>
        <w:rPr>
          <w:rFonts w:eastAsiaTheme="majorEastAsia"/>
          <w:b/>
          <w:bCs/>
          <w:color w:val="003865" w:themeColor="accent1"/>
          <w:sz w:val="32"/>
          <w:szCs w:val="32"/>
        </w:rPr>
      </w:pPr>
      <w:r>
        <w:rPr>
          <w:b/>
          <w:color w:val="003865" w:themeColor="accent1"/>
          <w:sz w:val="32"/>
        </w:rPr>
        <w:t>Para obtener más información</w:t>
      </w:r>
    </w:p>
    <w:p w14:paraId="10BDBD5A" w14:textId="56EDF363" w:rsidR="00885C42" w:rsidRPr="004249BC" w:rsidRDefault="00885C42" w:rsidP="47FCDBE1">
      <w:pPr>
        <w:rPr>
          <w:rFonts w:eastAsiaTheme="majorEastAsia"/>
        </w:rPr>
      </w:pPr>
      <w:r>
        <w:t>Comuníquese con la División de Normas Laborales del Departamento de Trabajo e Industria de Minnesota al 651-284-5075 o en </w:t>
      </w:r>
      <w:hyperlink r:id="rId13" w:history="1">
        <w:r w:rsidR="00B6576A" w:rsidRPr="001F55A2">
          <w:rPr>
            <w:rStyle w:val="Hyperlink"/>
          </w:rPr>
          <w:t>esst.dli@state.mn.us</w:t>
        </w:r>
      </w:hyperlink>
      <w:r>
        <w:t xml:space="preserve"> o visite la página web de tiempo ganado por enfermedad y seguridad del departamento en </w:t>
      </w:r>
      <w:hyperlink r:id="rId14" w:history="1">
        <w:r>
          <w:rPr>
            <w:rStyle w:val="Hyperlink"/>
          </w:rPr>
          <w:t>dli.mn.gov/</w:t>
        </w:r>
        <w:proofErr w:type="spellStart"/>
        <w:r>
          <w:rPr>
            <w:rStyle w:val="Hyperlink"/>
          </w:rPr>
          <w:t>sick-leave</w:t>
        </w:r>
        <w:proofErr w:type="spellEnd"/>
      </w:hyperlink>
      <w:r>
        <w:t>.</w:t>
      </w:r>
    </w:p>
    <w:p w14:paraId="0B09CF67" w14:textId="04CC1B8D" w:rsidR="00722C60" w:rsidRPr="004249BC" w:rsidRDefault="00722C60" w:rsidP="00722C60">
      <w:pPr>
        <w:spacing w:before="0" w:line="240" w:lineRule="auto"/>
      </w:pPr>
      <w:r>
        <w:t>Este documento contiene información importante sobre su empleo. Marque la casilla a la izquierda para recibir</w:t>
      </w:r>
      <w:r w:rsidR="00AB3F94">
        <w:t xml:space="preserve"> </w:t>
      </w:r>
      <w:r>
        <w:t>esta información en este idioma.</w:t>
      </w:r>
    </w:p>
    <w:p w14:paraId="0327FF50" w14:textId="304A4E75" w:rsidR="00722C60" w:rsidRPr="007868B9" w:rsidRDefault="00722C60" w:rsidP="007868B9">
      <w:pPr>
        <w:spacing w:before="0" w:line="240" w:lineRule="auto"/>
        <w:rPr>
          <w:sz w:val="20"/>
        </w:rPr>
      </w:pPr>
      <w:r>
        <w:rPr>
          <w:noProof/>
          <w:sz w:val="20"/>
        </w:rPr>
        <w:drawing>
          <wp:inline distT="0" distB="0" distL="0" distR="0" wp14:anchorId="4B289E51" wp14:editId="2B3FF71F">
            <wp:extent cx="5847525" cy="4244454"/>
            <wp:effectExtent l="0" t="0" r="1270" b="3810"/>
            <wp:docPr id="2" name="Picture 2" descr="C:\Users\AnHess\Desktop\employee_notice_other_language_op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Hess\Desktop\employee_notice_other_language_options.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96719" cy="4280162"/>
                    </a:xfrm>
                    <a:prstGeom prst="rect">
                      <a:avLst/>
                    </a:prstGeom>
                    <a:noFill/>
                    <a:ln>
                      <a:noFill/>
                    </a:ln>
                  </pic:spPr>
                </pic:pic>
              </a:graphicData>
            </a:graphic>
          </wp:inline>
        </w:drawing>
      </w:r>
    </w:p>
    <w:sectPr w:rsidR="00722C60" w:rsidRPr="007868B9" w:rsidSect="00D47A8B">
      <w:footerReference w:type="first" r:id="rId16"/>
      <w:type w:val="continuous"/>
      <w:pgSz w:w="12240" w:h="15840" w:code="1"/>
      <w:pgMar w:top="1080" w:right="1080" w:bottom="900" w:left="1080" w:header="0"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776A7" w14:textId="77777777" w:rsidR="007F403F" w:rsidRDefault="007F403F" w:rsidP="00E55F4F">
      <w:r>
        <w:separator/>
      </w:r>
    </w:p>
  </w:endnote>
  <w:endnote w:type="continuationSeparator" w:id="0">
    <w:p w14:paraId="2767903E" w14:textId="77777777" w:rsidR="007F403F" w:rsidRDefault="007F403F" w:rsidP="00E55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CE6FE" w14:textId="1F66899F" w:rsidR="00555811" w:rsidRPr="00833DC6" w:rsidRDefault="00555811" w:rsidP="00555811">
    <w:pPr>
      <w:pStyle w:val="Footer"/>
      <w:jc w:val="center"/>
      <w:rPr>
        <w:color w:val="003865"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120EF" w14:textId="77777777" w:rsidR="007F403F" w:rsidRDefault="007F403F" w:rsidP="00E55F4F">
      <w:r>
        <w:separator/>
      </w:r>
    </w:p>
  </w:footnote>
  <w:footnote w:type="continuationSeparator" w:id="0">
    <w:p w14:paraId="6F824CA3" w14:textId="77777777" w:rsidR="007F403F" w:rsidRDefault="007F403F" w:rsidP="00E55F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25.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DE1BE5"/>
    <w:multiLevelType w:val="hybridMultilevel"/>
    <w:tmpl w:val="7656603C"/>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B624EA"/>
    <w:multiLevelType w:val="hybridMultilevel"/>
    <w:tmpl w:val="6C26803C"/>
    <w:lvl w:ilvl="0" w:tplc="F65A9B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2882738">
    <w:abstractNumId w:val="3"/>
  </w:num>
  <w:num w:numId="2" w16cid:durableId="1752115711">
    <w:abstractNumId w:val="6"/>
  </w:num>
  <w:num w:numId="3" w16cid:durableId="161626960">
    <w:abstractNumId w:val="19"/>
  </w:num>
  <w:num w:numId="4" w16cid:durableId="1794598571">
    <w:abstractNumId w:val="16"/>
  </w:num>
  <w:num w:numId="5" w16cid:durableId="140074638">
    <w:abstractNumId w:val="14"/>
  </w:num>
  <w:num w:numId="6" w16cid:durableId="1163356448">
    <w:abstractNumId w:val="4"/>
  </w:num>
  <w:num w:numId="7" w16cid:durableId="1055740228">
    <w:abstractNumId w:val="12"/>
  </w:num>
  <w:num w:numId="8" w16cid:durableId="1559173617">
    <w:abstractNumId w:val="7"/>
  </w:num>
  <w:num w:numId="9" w16cid:durableId="767889594">
    <w:abstractNumId w:val="10"/>
  </w:num>
  <w:num w:numId="10" w16cid:durableId="2054302879">
    <w:abstractNumId w:val="2"/>
  </w:num>
  <w:num w:numId="11" w16cid:durableId="1262640318">
    <w:abstractNumId w:val="2"/>
  </w:num>
  <w:num w:numId="12" w16cid:durableId="691107023">
    <w:abstractNumId w:val="20"/>
  </w:num>
  <w:num w:numId="13" w16cid:durableId="1215003351">
    <w:abstractNumId w:val="21"/>
  </w:num>
  <w:num w:numId="14" w16cid:durableId="1848203630">
    <w:abstractNumId w:val="13"/>
  </w:num>
  <w:num w:numId="15" w16cid:durableId="1219168545">
    <w:abstractNumId w:val="2"/>
  </w:num>
  <w:num w:numId="16" w16cid:durableId="2053572007">
    <w:abstractNumId w:val="21"/>
  </w:num>
  <w:num w:numId="17" w16cid:durableId="1992052829">
    <w:abstractNumId w:val="13"/>
  </w:num>
  <w:num w:numId="18" w16cid:durableId="1447045270">
    <w:abstractNumId w:val="9"/>
  </w:num>
  <w:num w:numId="19" w16cid:durableId="907571392">
    <w:abstractNumId w:val="5"/>
  </w:num>
  <w:num w:numId="20" w16cid:durableId="1882665604">
    <w:abstractNumId w:val="1"/>
  </w:num>
  <w:num w:numId="21" w16cid:durableId="1254315918">
    <w:abstractNumId w:val="0"/>
  </w:num>
  <w:num w:numId="22" w16cid:durableId="272368011">
    <w:abstractNumId w:val="8"/>
  </w:num>
  <w:num w:numId="23" w16cid:durableId="1601452136">
    <w:abstractNumId w:val="15"/>
  </w:num>
  <w:num w:numId="24" w16cid:durableId="321080377">
    <w:abstractNumId w:val="17"/>
  </w:num>
  <w:num w:numId="25" w16cid:durableId="1648895061">
    <w:abstractNumId w:val="18"/>
  </w:num>
  <w:num w:numId="26" w16cid:durableId="211802265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13F"/>
    <w:rsid w:val="00002DEC"/>
    <w:rsid w:val="0000500E"/>
    <w:rsid w:val="000065AC"/>
    <w:rsid w:val="00006A0A"/>
    <w:rsid w:val="00007008"/>
    <w:rsid w:val="00041435"/>
    <w:rsid w:val="00064B90"/>
    <w:rsid w:val="0007374A"/>
    <w:rsid w:val="00080404"/>
    <w:rsid w:val="000836EF"/>
    <w:rsid w:val="00084742"/>
    <w:rsid w:val="00097962"/>
    <w:rsid w:val="000B2E68"/>
    <w:rsid w:val="000C3708"/>
    <w:rsid w:val="000C3761"/>
    <w:rsid w:val="000C41F0"/>
    <w:rsid w:val="000C7373"/>
    <w:rsid w:val="000C7561"/>
    <w:rsid w:val="000E313B"/>
    <w:rsid w:val="000E3E9D"/>
    <w:rsid w:val="000F4BB1"/>
    <w:rsid w:val="00101F7E"/>
    <w:rsid w:val="00102FAD"/>
    <w:rsid w:val="00113698"/>
    <w:rsid w:val="00121B3C"/>
    <w:rsid w:val="00135082"/>
    <w:rsid w:val="00135DC7"/>
    <w:rsid w:val="00147ED1"/>
    <w:rsid w:val="001500D6"/>
    <w:rsid w:val="00157C41"/>
    <w:rsid w:val="001661D9"/>
    <w:rsid w:val="0016797E"/>
    <w:rsid w:val="001708EC"/>
    <w:rsid w:val="001925A8"/>
    <w:rsid w:val="0019673D"/>
    <w:rsid w:val="001A46BB"/>
    <w:rsid w:val="001C55E0"/>
    <w:rsid w:val="001E5ECF"/>
    <w:rsid w:val="00204736"/>
    <w:rsid w:val="00205252"/>
    <w:rsid w:val="00211CA3"/>
    <w:rsid w:val="00222A49"/>
    <w:rsid w:val="00223E2C"/>
    <w:rsid w:val="0022552E"/>
    <w:rsid w:val="00234CD9"/>
    <w:rsid w:val="00241998"/>
    <w:rsid w:val="00247E4A"/>
    <w:rsid w:val="00261247"/>
    <w:rsid w:val="00263C87"/>
    <w:rsid w:val="00264652"/>
    <w:rsid w:val="00275BC7"/>
    <w:rsid w:val="00282084"/>
    <w:rsid w:val="00284EED"/>
    <w:rsid w:val="00291052"/>
    <w:rsid w:val="002B449E"/>
    <w:rsid w:val="002B5E79"/>
    <w:rsid w:val="002C0859"/>
    <w:rsid w:val="002D746E"/>
    <w:rsid w:val="002E5F22"/>
    <w:rsid w:val="002F1947"/>
    <w:rsid w:val="002F2ED4"/>
    <w:rsid w:val="0030336E"/>
    <w:rsid w:val="00306D94"/>
    <w:rsid w:val="003125DF"/>
    <w:rsid w:val="003343A6"/>
    <w:rsid w:val="00335736"/>
    <w:rsid w:val="00342EC8"/>
    <w:rsid w:val="003471E3"/>
    <w:rsid w:val="003563D2"/>
    <w:rsid w:val="003573BD"/>
    <w:rsid w:val="003652DF"/>
    <w:rsid w:val="00376FA5"/>
    <w:rsid w:val="003A1479"/>
    <w:rsid w:val="003A1813"/>
    <w:rsid w:val="003A4B58"/>
    <w:rsid w:val="003A685E"/>
    <w:rsid w:val="003B7D82"/>
    <w:rsid w:val="003C4644"/>
    <w:rsid w:val="003C5BE3"/>
    <w:rsid w:val="003C6430"/>
    <w:rsid w:val="003D27E1"/>
    <w:rsid w:val="003D28A5"/>
    <w:rsid w:val="003D78EE"/>
    <w:rsid w:val="00411058"/>
    <w:rsid w:val="00413A7C"/>
    <w:rsid w:val="004141DD"/>
    <w:rsid w:val="004249BC"/>
    <w:rsid w:val="00427F7C"/>
    <w:rsid w:val="00430CC9"/>
    <w:rsid w:val="00461804"/>
    <w:rsid w:val="00466810"/>
    <w:rsid w:val="00472226"/>
    <w:rsid w:val="004725C6"/>
    <w:rsid w:val="004816B5"/>
    <w:rsid w:val="00483DD2"/>
    <w:rsid w:val="00494E6F"/>
    <w:rsid w:val="004A1B4D"/>
    <w:rsid w:val="004A58DD"/>
    <w:rsid w:val="004A6119"/>
    <w:rsid w:val="004B47DC"/>
    <w:rsid w:val="004C574B"/>
    <w:rsid w:val="004D2240"/>
    <w:rsid w:val="004D6B67"/>
    <w:rsid w:val="004D7612"/>
    <w:rsid w:val="004E75B3"/>
    <w:rsid w:val="004F04BA"/>
    <w:rsid w:val="004F0EFF"/>
    <w:rsid w:val="0050093F"/>
    <w:rsid w:val="00514788"/>
    <w:rsid w:val="0054371B"/>
    <w:rsid w:val="00555811"/>
    <w:rsid w:val="00557BE9"/>
    <w:rsid w:val="005619D9"/>
    <w:rsid w:val="0056615E"/>
    <w:rsid w:val="005666F2"/>
    <w:rsid w:val="0057497D"/>
    <w:rsid w:val="00581CDB"/>
    <w:rsid w:val="005A5874"/>
    <w:rsid w:val="005B2DDF"/>
    <w:rsid w:val="005B4AE7"/>
    <w:rsid w:val="005B53B0"/>
    <w:rsid w:val="005B6D58"/>
    <w:rsid w:val="005C16D8"/>
    <w:rsid w:val="005D4207"/>
    <w:rsid w:val="005D45B3"/>
    <w:rsid w:val="005D45E7"/>
    <w:rsid w:val="005D7791"/>
    <w:rsid w:val="005F6005"/>
    <w:rsid w:val="006064AB"/>
    <w:rsid w:val="00611F2D"/>
    <w:rsid w:val="00622BB5"/>
    <w:rsid w:val="0062513F"/>
    <w:rsid w:val="00627CBA"/>
    <w:rsid w:val="006355F4"/>
    <w:rsid w:val="00642359"/>
    <w:rsid w:val="0064753B"/>
    <w:rsid w:val="006538B9"/>
    <w:rsid w:val="00655345"/>
    <w:rsid w:val="006606DE"/>
    <w:rsid w:val="00661476"/>
    <w:rsid w:val="006637D2"/>
    <w:rsid w:val="00667DE9"/>
    <w:rsid w:val="00672536"/>
    <w:rsid w:val="00673000"/>
    <w:rsid w:val="00681EDC"/>
    <w:rsid w:val="0068649F"/>
    <w:rsid w:val="00687189"/>
    <w:rsid w:val="0069568F"/>
    <w:rsid w:val="00697CCC"/>
    <w:rsid w:val="006A1708"/>
    <w:rsid w:val="006B13B7"/>
    <w:rsid w:val="006B2942"/>
    <w:rsid w:val="006B3994"/>
    <w:rsid w:val="006C0E45"/>
    <w:rsid w:val="006D4829"/>
    <w:rsid w:val="006E2E9D"/>
    <w:rsid w:val="006F3B38"/>
    <w:rsid w:val="007137A4"/>
    <w:rsid w:val="00722C60"/>
    <w:rsid w:val="00722C9D"/>
    <w:rsid w:val="00730201"/>
    <w:rsid w:val="00737F33"/>
    <w:rsid w:val="0074246B"/>
    <w:rsid w:val="0074778B"/>
    <w:rsid w:val="0077225E"/>
    <w:rsid w:val="007868B9"/>
    <w:rsid w:val="00793F48"/>
    <w:rsid w:val="00796D90"/>
    <w:rsid w:val="0079713F"/>
    <w:rsid w:val="007A6986"/>
    <w:rsid w:val="007A6E68"/>
    <w:rsid w:val="007B2FB4"/>
    <w:rsid w:val="007B35B2"/>
    <w:rsid w:val="007C6CB0"/>
    <w:rsid w:val="007D1FFF"/>
    <w:rsid w:val="007D42A0"/>
    <w:rsid w:val="007E22B0"/>
    <w:rsid w:val="007E685C"/>
    <w:rsid w:val="007F403F"/>
    <w:rsid w:val="007F6108"/>
    <w:rsid w:val="007F7097"/>
    <w:rsid w:val="008067A6"/>
    <w:rsid w:val="0080758D"/>
    <w:rsid w:val="00813CB4"/>
    <w:rsid w:val="008140CC"/>
    <w:rsid w:val="0082092B"/>
    <w:rsid w:val="008246E6"/>
    <w:rsid w:val="008251B3"/>
    <w:rsid w:val="008310A6"/>
    <w:rsid w:val="00834044"/>
    <w:rsid w:val="00844F1D"/>
    <w:rsid w:val="0084749F"/>
    <w:rsid w:val="00864202"/>
    <w:rsid w:val="00877B55"/>
    <w:rsid w:val="00885C42"/>
    <w:rsid w:val="00893CE4"/>
    <w:rsid w:val="00893DF8"/>
    <w:rsid w:val="008B5443"/>
    <w:rsid w:val="008C7EEB"/>
    <w:rsid w:val="008D0DEF"/>
    <w:rsid w:val="008D2256"/>
    <w:rsid w:val="008D5E3D"/>
    <w:rsid w:val="008E7752"/>
    <w:rsid w:val="008E78BA"/>
    <w:rsid w:val="008F42B1"/>
    <w:rsid w:val="008F70DC"/>
    <w:rsid w:val="0090737A"/>
    <w:rsid w:val="00923DB4"/>
    <w:rsid w:val="00927410"/>
    <w:rsid w:val="009302CE"/>
    <w:rsid w:val="009416FD"/>
    <w:rsid w:val="0096108C"/>
    <w:rsid w:val="00963BA0"/>
    <w:rsid w:val="00967092"/>
    <w:rsid w:val="00967764"/>
    <w:rsid w:val="00976E84"/>
    <w:rsid w:val="009810EE"/>
    <w:rsid w:val="009829D9"/>
    <w:rsid w:val="00984CC9"/>
    <w:rsid w:val="0099233F"/>
    <w:rsid w:val="009B54A0"/>
    <w:rsid w:val="009C6405"/>
    <w:rsid w:val="009D0C12"/>
    <w:rsid w:val="009D3BDE"/>
    <w:rsid w:val="009E2A2F"/>
    <w:rsid w:val="00A03D4A"/>
    <w:rsid w:val="00A213A6"/>
    <w:rsid w:val="00A30799"/>
    <w:rsid w:val="00A33E65"/>
    <w:rsid w:val="00A3452A"/>
    <w:rsid w:val="00A57FE8"/>
    <w:rsid w:val="00A6316F"/>
    <w:rsid w:val="00A634B1"/>
    <w:rsid w:val="00A64ECE"/>
    <w:rsid w:val="00A66185"/>
    <w:rsid w:val="00A71CAD"/>
    <w:rsid w:val="00A731A2"/>
    <w:rsid w:val="00A827B0"/>
    <w:rsid w:val="00A827C1"/>
    <w:rsid w:val="00A93F40"/>
    <w:rsid w:val="00A96F93"/>
    <w:rsid w:val="00AB3F94"/>
    <w:rsid w:val="00AD39DA"/>
    <w:rsid w:val="00AE5772"/>
    <w:rsid w:val="00AF22AD"/>
    <w:rsid w:val="00AF5107"/>
    <w:rsid w:val="00B013CC"/>
    <w:rsid w:val="00B03747"/>
    <w:rsid w:val="00B06264"/>
    <w:rsid w:val="00B07C8F"/>
    <w:rsid w:val="00B16FE6"/>
    <w:rsid w:val="00B275D4"/>
    <w:rsid w:val="00B6576A"/>
    <w:rsid w:val="00B73229"/>
    <w:rsid w:val="00B75051"/>
    <w:rsid w:val="00B75D40"/>
    <w:rsid w:val="00B82634"/>
    <w:rsid w:val="00B859DE"/>
    <w:rsid w:val="00B975F7"/>
    <w:rsid w:val="00BB1493"/>
    <w:rsid w:val="00BD0E59"/>
    <w:rsid w:val="00BD5A69"/>
    <w:rsid w:val="00C018F2"/>
    <w:rsid w:val="00C11A01"/>
    <w:rsid w:val="00C12D2F"/>
    <w:rsid w:val="00C277A8"/>
    <w:rsid w:val="00C309AE"/>
    <w:rsid w:val="00C33BA7"/>
    <w:rsid w:val="00C365CE"/>
    <w:rsid w:val="00C417EB"/>
    <w:rsid w:val="00C528AE"/>
    <w:rsid w:val="00C5655E"/>
    <w:rsid w:val="00C64B02"/>
    <w:rsid w:val="00C67FC6"/>
    <w:rsid w:val="00C7130A"/>
    <w:rsid w:val="00CA3613"/>
    <w:rsid w:val="00CB01B4"/>
    <w:rsid w:val="00CB1E20"/>
    <w:rsid w:val="00CC2328"/>
    <w:rsid w:val="00CE45B0"/>
    <w:rsid w:val="00D0014D"/>
    <w:rsid w:val="00D02CA2"/>
    <w:rsid w:val="00D22819"/>
    <w:rsid w:val="00D47A8B"/>
    <w:rsid w:val="00D511F0"/>
    <w:rsid w:val="00D54EE5"/>
    <w:rsid w:val="00D57CCA"/>
    <w:rsid w:val="00D6381F"/>
    <w:rsid w:val="00D63F82"/>
    <w:rsid w:val="00D640FC"/>
    <w:rsid w:val="00D70F03"/>
    <w:rsid w:val="00D70F7D"/>
    <w:rsid w:val="00D853EA"/>
    <w:rsid w:val="00D92929"/>
    <w:rsid w:val="00D93C2E"/>
    <w:rsid w:val="00D970A5"/>
    <w:rsid w:val="00DB3D54"/>
    <w:rsid w:val="00DB4967"/>
    <w:rsid w:val="00DC22CF"/>
    <w:rsid w:val="00DC425F"/>
    <w:rsid w:val="00DC79BB"/>
    <w:rsid w:val="00DD02DF"/>
    <w:rsid w:val="00DE4881"/>
    <w:rsid w:val="00DE50CB"/>
    <w:rsid w:val="00DF01D4"/>
    <w:rsid w:val="00DF2152"/>
    <w:rsid w:val="00DF3869"/>
    <w:rsid w:val="00E007F5"/>
    <w:rsid w:val="00E206AE"/>
    <w:rsid w:val="00E2072C"/>
    <w:rsid w:val="00E23397"/>
    <w:rsid w:val="00E32CD7"/>
    <w:rsid w:val="00E36FF3"/>
    <w:rsid w:val="00E44EE1"/>
    <w:rsid w:val="00E5241D"/>
    <w:rsid w:val="00E55F4F"/>
    <w:rsid w:val="00E5680C"/>
    <w:rsid w:val="00E60A06"/>
    <w:rsid w:val="00E61A16"/>
    <w:rsid w:val="00E62063"/>
    <w:rsid w:val="00E65BF4"/>
    <w:rsid w:val="00E73FD2"/>
    <w:rsid w:val="00E76267"/>
    <w:rsid w:val="00E8480A"/>
    <w:rsid w:val="00EA3A4D"/>
    <w:rsid w:val="00EA535B"/>
    <w:rsid w:val="00EA5BD6"/>
    <w:rsid w:val="00EB7C94"/>
    <w:rsid w:val="00EC579D"/>
    <w:rsid w:val="00ED5BDC"/>
    <w:rsid w:val="00ED7DAC"/>
    <w:rsid w:val="00EE3134"/>
    <w:rsid w:val="00F0088C"/>
    <w:rsid w:val="00F067A6"/>
    <w:rsid w:val="00F11A6D"/>
    <w:rsid w:val="00F20B25"/>
    <w:rsid w:val="00F24E5A"/>
    <w:rsid w:val="00F578A7"/>
    <w:rsid w:val="00F70C03"/>
    <w:rsid w:val="00F84C6D"/>
    <w:rsid w:val="00F9084A"/>
    <w:rsid w:val="00FB0497"/>
    <w:rsid w:val="00FB6E40"/>
    <w:rsid w:val="00FC26D4"/>
    <w:rsid w:val="00FD1CCB"/>
    <w:rsid w:val="00FE7DB3"/>
    <w:rsid w:val="0302FB49"/>
    <w:rsid w:val="0311881E"/>
    <w:rsid w:val="07AF5522"/>
    <w:rsid w:val="176A12EC"/>
    <w:rsid w:val="1ED9967A"/>
    <w:rsid w:val="231E228C"/>
    <w:rsid w:val="2BC5CF02"/>
    <w:rsid w:val="34F3931C"/>
    <w:rsid w:val="47FCDBE1"/>
    <w:rsid w:val="53000FA1"/>
    <w:rsid w:val="5C9AFFD2"/>
    <w:rsid w:val="6240604A"/>
    <w:rsid w:val="7DA3F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4EF9626B"/>
  <w15:docId w15:val="{A74A6824-CA74-414F-B13A-3844725D0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s-E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CCA"/>
    <w:pPr>
      <w:spacing w:before="200" w:after="200"/>
    </w:pPr>
  </w:style>
  <w:style w:type="paragraph" w:styleId="Heading1">
    <w:name w:val="heading 1"/>
    <w:next w:val="Normal"/>
    <w:link w:val="Heading1Char"/>
    <w:uiPriority w:val="1"/>
    <w:qFormat/>
    <w:rsid w:val="007C6CB0"/>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7C6CB0"/>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EE3134"/>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7C6CB0"/>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430CC9"/>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430CC9"/>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1E5ECF"/>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C6CB0"/>
    <w:rPr>
      <w:b/>
      <w:color w:val="003865"/>
      <w:sz w:val="40"/>
      <w:szCs w:val="40"/>
    </w:rPr>
  </w:style>
  <w:style w:type="character" w:customStyle="1" w:styleId="Heading2Char">
    <w:name w:val="Heading 2 Char"/>
    <w:basedOn w:val="DefaultParagraphFont"/>
    <w:link w:val="Heading2"/>
    <w:uiPriority w:val="1"/>
    <w:rsid w:val="007C6CB0"/>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EE3134"/>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7C6CB0"/>
    <w:rPr>
      <w:rFonts w:eastAsiaTheme="majorEastAsia" w:cstheme="majorBidi"/>
      <w:i/>
      <w:sz w:val="24"/>
      <w:szCs w:val="24"/>
    </w:rPr>
  </w:style>
  <w:style w:type="character" w:customStyle="1" w:styleId="Heading5Char">
    <w:name w:val="Heading 5 Char"/>
    <w:basedOn w:val="DefaultParagraphFont"/>
    <w:link w:val="Heading5"/>
    <w:uiPriority w:val="1"/>
    <w:rsid w:val="00430CC9"/>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430CC9"/>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uiPriority w:val="2"/>
    <w:qFormat/>
    <w:rsid w:val="007C6CB0"/>
    <w:rPr>
      <w:i/>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semiHidden/>
    <w:rsid w:val="001E5ECF"/>
    <w:rPr>
      <w:color w:val="0563C1" w:themeColor="hyperlink"/>
      <w:u w:val="single"/>
    </w:rPr>
  </w:style>
  <w:style w:type="character" w:styleId="IntenseEmphasis">
    <w:name w:val="Intense Emphasis"/>
    <w:basedOn w:val="DefaultParagraphFont"/>
    <w:uiPriority w:val="2"/>
    <w:qFormat/>
    <w:rsid w:val="007C6CB0"/>
    <w:rPr>
      <w:b/>
      <w:i/>
      <w:iCs/>
      <w:color w:val="auto"/>
    </w:rPr>
  </w:style>
  <w:style w:type="paragraph" w:styleId="IntenseQuote">
    <w:name w:val="Intense Quote"/>
    <w:basedOn w:val="Normal"/>
    <w:next w:val="Normal"/>
    <w:link w:val="IntenseQuoteChar"/>
    <w:uiPriority w:val="30"/>
    <w:qFormat/>
    <w:rsid w:val="00B013CC"/>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B013CC"/>
    <w:rPr>
      <w:rFonts w:asciiTheme="minorHAnsi" w:hAnsiTheme="minorHAnsi"/>
      <w:i/>
      <w:iCs/>
      <w:color w:val="003865" w:themeColor="accent1"/>
      <w:sz w:val="26"/>
      <w:lang w:bidi="ar-SA"/>
    </w:rPr>
  </w:style>
  <w:style w:type="paragraph" w:styleId="ListNumber">
    <w:name w:val="List Number"/>
    <w:basedOn w:val="Normal"/>
    <w:semiHidden/>
    <w:rsid w:val="00E55F4F"/>
    <w:pPr>
      <w:numPr>
        <w:numId w:val="15"/>
      </w:numPr>
    </w:pPr>
  </w:style>
  <w:style w:type="paragraph" w:styleId="Quote">
    <w:name w:val="Quote"/>
    <w:basedOn w:val="Normal"/>
    <w:next w:val="Normal"/>
    <w:link w:val="QuoteChar"/>
    <w:uiPriority w:val="29"/>
    <w:qFormat/>
    <w:rsid w:val="007C6CB0"/>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7C6CB0"/>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D970A5"/>
    <w:pPr>
      <w:spacing w:line="240"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1E5ECF"/>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Footer">
    <w:name w:val="footer"/>
    <w:link w:val="FooterChar"/>
    <w:uiPriority w:val="99"/>
    <w:qFormat/>
    <w:rsid w:val="00B75D40"/>
    <w:pPr>
      <w:tabs>
        <w:tab w:val="center" w:pos="4320"/>
        <w:tab w:val="right" w:pos="8640"/>
      </w:tabs>
      <w:spacing w:before="0" w:line="336" w:lineRule="auto"/>
      <w:jc w:val="right"/>
    </w:pPr>
    <w:rPr>
      <w:rFonts w:asciiTheme="minorHAnsi" w:hAnsiTheme="minorHAnsi"/>
    </w:rPr>
  </w:style>
  <w:style w:type="character" w:customStyle="1" w:styleId="FooterChar">
    <w:name w:val="Footer Char"/>
    <w:basedOn w:val="DefaultParagraphFont"/>
    <w:link w:val="Footer"/>
    <w:uiPriority w:val="99"/>
    <w:rsid w:val="00B75D40"/>
    <w:rPr>
      <w:rFonts w:asciiTheme="minorHAnsi" w:hAnsiTheme="minorHAnsi"/>
    </w:rPr>
  </w:style>
  <w:style w:type="paragraph" w:customStyle="1" w:styleId="Boldcharacter">
    <w:name w:val="Bold character"/>
    <w:basedOn w:val="Normal"/>
    <w:link w:val="BoldcharacterChar"/>
    <w:autoRedefine/>
    <w:semiHidden/>
    <w:qFormat/>
    <w:rsid w:val="002F1947"/>
    <w:pPr>
      <w:spacing w:line="280" w:lineRule="exact"/>
      <w:contextualSpacing/>
    </w:pPr>
    <w:rPr>
      <w:b/>
    </w:rPr>
  </w:style>
  <w:style w:type="character" w:customStyle="1" w:styleId="BoldcharacterChar">
    <w:name w:val="Bold character Char"/>
    <w:basedOn w:val="DefaultParagraphFont"/>
    <w:link w:val="Boldcharacter"/>
    <w:semiHidden/>
    <w:rsid w:val="002F1947"/>
    <w:rPr>
      <w:b/>
      <w:sz w:val="22"/>
      <w:szCs w:val="22"/>
      <w:lang w:val="es-ES"/>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paragraph" w:styleId="Caption">
    <w:name w:val="caption"/>
    <w:basedOn w:val="Normal"/>
    <w:next w:val="Normal"/>
    <w:uiPriority w:val="29"/>
    <w:qFormat/>
    <w:rsid w:val="009416FD"/>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E76267"/>
    <w:rPr>
      <w:color w:val="808080"/>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qFormat/>
    <w:rsid w:val="007C6CB0"/>
    <w:pPr>
      <w:numPr>
        <w:numId w:val="26"/>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QuadSpace">
    <w:name w:val="Quad Space"/>
    <w:basedOn w:val="Normal"/>
    <w:link w:val="QuadSpaceChar"/>
    <w:qFormat/>
    <w:rsid w:val="00CB1E20"/>
    <w:pPr>
      <w:spacing w:before="840" w:after="0"/>
    </w:pPr>
  </w:style>
  <w:style w:type="character" w:customStyle="1" w:styleId="QuadSpaceChar">
    <w:name w:val="Quad Space Char"/>
    <w:basedOn w:val="DefaultParagraphFont"/>
    <w:link w:val="QuadSpace"/>
    <w:rsid w:val="00CB1E20"/>
  </w:style>
  <w:style w:type="paragraph" w:customStyle="1" w:styleId="SingleSpace">
    <w:name w:val="Single Space"/>
    <w:basedOn w:val="Normal"/>
    <w:link w:val="SingleSpaceChar"/>
    <w:qFormat/>
    <w:rsid w:val="00CB1E20"/>
    <w:pPr>
      <w:spacing w:before="0" w:after="0"/>
    </w:pPr>
  </w:style>
  <w:style w:type="character" w:customStyle="1" w:styleId="SingleSpaceChar">
    <w:name w:val="Single Space Char"/>
    <w:basedOn w:val="DefaultParagraphFont"/>
    <w:link w:val="SingleSpace"/>
    <w:rsid w:val="00CB1E20"/>
  </w:style>
  <w:style w:type="paragraph" w:styleId="Header">
    <w:name w:val="header"/>
    <w:basedOn w:val="Normal"/>
    <w:link w:val="HeaderChar"/>
    <w:uiPriority w:val="99"/>
    <w:unhideWhenUsed/>
    <w:rsid w:val="0055581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55811"/>
  </w:style>
  <w:style w:type="character" w:styleId="CommentReference">
    <w:name w:val="annotation reference"/>
    <w:basedOn w:val="DefaultParagraphFont"/>
    <w:semiHidden/>
    <w:unhideWhenUsed/>
    <w:rsid w:val="00263C87"/>
    <w:rPr>
      <w:sz w:val="16"/>
      <w:szCs w:val="16"/>
    </w:rPr>
  </w:style>
  <w:style w:type="paragraph" w:styleId="CommentText">
    <w:name w:val="annotation text"/>
    <w:basedOn w:val="Normal"/>
    <w:link w:val="CommentTextChar"/>
    <w:unhideWhenUsed/>
    <w:rsid w:val="00263C87"/>
    <w:pPr>
      <w:spacing w:line="240" w:lineRule="auto"/>
    </w:pPr>
    <w:rPr>
      <w:sz w:val="20"/>
      <w:szCs w:val="20"/>
    </w:rPr>
  </w:style>
  <w:style w:type="character" w:customStyle="1" w:styleId="CommentTextChar">
    <w:name w:val="Comment Text Char"/>
    <w:basedOn w:val="DefaultParagraphFont"/>
    <w:link w:val="CommentText"/>
    <w:rsid w:val="00263C87"/>
    <w:rPr>
      <w:sz w:val="20"/>
      <w:szCs w:val="20"/>
    </w:rPr>
  </w:style>
  <w:style w:type="paragraph" w:styleId="CommentSubject">
    <w:name w:val="annotation subject"/>
    <w:basedOn w:val="CommentText"/>
    <w:next w:val="CommentText"/>
    <w:link w:val="CommentSubjectChar"/>
    <w:semiHidden/>
    <w:unhideWhenUsed/>
    <w:rsid w:val="00263C87"/>
    <w:rPr>
      <w:b/>
      <w:bCs/>
    </w:rPr>
  </w:style>
  <w:style w:type="character" w:customStyle="1" w:styleId="CommentSubjectChar">
    <w:name w:val="Comment Subject Char"/>
    <w:basedOn w:val="CommentTextChar"/>
    <w:link w:val="CommentSubject"/>
    <w:semiHidden/>
    <w:rsid w:val="00263C87"/>
    <w:rPr>
      <w:b/>
      <w:bCs/>
      <w:sz w:val="20"/>
      <w:szCs w:val="20"/>
    </w:rPr>
  </w:style>
  <w:style w:type="paragraph" w:styleId="Revision">
    <w:name w:val="Revision"/>
    <w:hidden/>
    <w:uiPriority w:val="99"/>
    <w:semiHidden/>
    <w:rsid w:val="00C64B02"/>
    <w:pPr>
      <w:spacing w:before="0" w:line="240" w:lineRule="auto"/>
    </w:pPr>
  </w:style>
  <w:style w:type="character" w:styleId="UnresolvedMention">
    <w:name w:val="Unresolved Mention"/>
    <w:basedOn w:val="DefaultParagraphFont"/>
    <w:uiPriority w:val="99"/>
    <w:semiHidden/>
    <w:unhideWhenUsed/>
    <w:rsid w:val="00885C42"/>
    <w:rPr>
      <w:color w:val="605E5C"/>
      <w:shd w:val="clear" w:color="auto" w:fill="E1DFDD"/>
    </w:rPr>
  </w:style>
  <w:style w:type="character" w:styleId="FollowedHyperlink">
    <w:name w:val="FollowedHyperlink"/>
    <w:basedOn w:val="DefaultParagraphFont"/>
    <w:semiHidden/>
    <w:unhideWhenUsed/>
    <w:rsid w:val="00661476"/>
    <w:rPr>
      <w:color w:val="5D295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sst.dli@state.mn.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visor.mn.gov/laws/2023/0/53/laws.12.1.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li.mn.gov/sick-leav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merson\appdata\local\microsoft\office\MN_DLI_Templates\DLI%20letterhead.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e6d1fd-6296-4138-82b9-8fdc51f2b0d2">
      <Terms xmlns="http://schemas.microsoft.com/office/infopath/2007/PartnerControls"/>
    </lcf76f155ced4ddcb4097134ff3c332f>
    <TaxCatchAll xmlns="18f67ff8-b67f-45ad-baed-ef2cc4d6940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AD5A253B60480468BCDBA5998AF027D" ma:contentTypeVersion="11" ma:contentTypeDescription="Create a new document." ma:contentTypeScope="" ma:versionID="4eb7af6368d5a9a7c32adbd4dbb46bd1">
  <xsd:schema xmlns:xsd="http://www.w3.org/2001/XMLSchema" xmlns:xs="http://www.w3.org/2001/XMLSchema" xmlns:p="http://schemas.microsoft.com/office/2006/metadata/properties" xmlns:ns2="f3e6d1fd-6296-4138-82b9-8fdc51f2b0d2" xmlns:ns3="18f67ff8-b67f-45ad-baed-ef2cc4d6940f" targetNamespace="http://schemas.microsoft.com/office/2006/metadata/properties" ma:root="true" ma:fieldsID="0ab4966b9fe2408b01d3b18dff2c1c80" ns2:_="" ns3:_="">
    <xsd:import namespace="f3e6d1fd-6296-4138-82b9-8fdc51f2b0d2"/>
    <xsd:import namespace="18f67ff8-b67f-45ad-baed-ef2cc4d6940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6d1fd-6296-4138-82b9-8fdc51f2b0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f67ff8-b67f-45ad-baed-ef2cc4d6940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4e77d4-210e-40dc-a841-eaf350193c90}" ma:internalName="TaxCatchAll" ma:showField="CatchAllData" ma:web="18f67ff8-b67f-45ad-baed-ef2cc4d6940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756511-B070-43A5-A894-8B5B9AF39083}">
  <ds:schemaRefs>
    <ds:schemaRef ds:uri="http://schemas.microsoft.com/office/2006/metadata/properties"/>
    <ds:schemaRef ds:uri="http://schemas.microsoft.com/office/infopath/2007/PartnerControls"/>
    <ds:schemaRef ds:uri="f3e6d1fd-6296-4138-82b9-8fdc51f2b0d2"/>
    <ds:schemaRef ds:uri="18f67ff8-b67f-45ad-baed-ef2cc4d6940f"/>
  </ds:schemaRefs>
</ds:datastoreItem>
</file>

<file path=customXml/itemProps2.xml><?xml version="1.0" encoding="utf-8"?>
<ds:datastoreItem xmlns:ds="http://schemas.openxmlformats.org/officeDocument/2006/customXml" ds:itemID="{08FF8704-EC23-4F73-943B-1C39D68CF4B7}">
  <ds:schemaRefs>
    <ds:schemaRef ds:uri="http://schemas.openxmlformats.org/officeDocument/2006/bibliography"/>
  </ds:schemaRefs>
</ds:datastoreItem>
</file>

<file path=customXml/itemProps3.xml><?xml version="1.0" encoding="utf-8"?>
<ds:datastoreItem xmlns:ds="http://schemas.openxmlformats.org/officeDocument/2006/customXml" ds:itemID="{460B4955-DC90-477C-8C1D-BD4180EA1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6d1fd-6296-4138-82b9-8fdc51f2b0d2"/>
    <ds:schemaRef ds:uri="18f67ff8-b67f-45ad-baed-ef2cc4d69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2EE077-7B0D-4C52-BC90-DA5A5F4D2BBB}">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DLI letterhead</Template>
  <TotalTime>26</TotalTime>
  <Pages>2</Pages>
  <Words>775</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Earned sick and safe time employee notice</vt:lpstr>
    </vt:vector>
  </TitlesOfParts>
  <Manager/>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Earned sick and safe time employee notice</dc:title>
  <dc:subject/>
  <dc:creator>Labor Standards Division, Minnesota Department of Labor and Industry</dc:creator>
  <cp:keywords/>
  <dc:description/>
  <cp:lastModifiedBy>Emerson, Blair (She/Her/Hers) (DLI)</cp:lastModifiedBy>
  <cp:revision>12</cp:revision>
  <dcterms:created xsi:type="dcterms:W3CDTF">2023-11-06T19:38:00Z</dcterms:created>
  <dcterms:modified xsi:type="dcterms:W3CDTF">2025-07-02T14:29:00Z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1.3</vt:lpwstr>
  </property>
  <property fmtid="{D5CDD505-2E9C-101B-9397-08002B2CF9AE}" pid="3" name="ContentTypeId">
    <vt:lpwstr>0x0101002AD5A253B60480468BCDBA5998AF027D</vt:lpwstr>
  </property>
  <property fmtid="{D5CDD505-2E9C-101B-9397-08002B2CF9AE}" pid="4" name="MediaServiceImageTags">
    <vt:lpwstr/>
  </property>
</Properties>
</file>