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8B32" w14:textId="77777777" w:rsidR="009E574A" w:rsidRDefault="009E574A" w:rsidP="00FB75C5">
      <w:bookmarkStart w:id="0" w:name="_Toc205451712"/>
      <w:r>
        <w:rPr>
          <w:noProof/>
        </w:rPr>
        <w:drawing>
          <wp:inline distT="0" distB="0" distL="0" distR="0" wp14:anchorId="119BA326" wp14:editId="1ACEA5A6">
            <wp:extent cx="2834640" cy="320040"/>
            <wp:effectExtent l="0" t="0" r="3810" b="3810"/>
            <wp:docPr id="6" name="Picture 6" descr="Department of Labor and Indust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Department of Labor and Industry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745"/>
                    <a:stretch/>
                  </pic:blipFill>
                  <pic:spPr bwMode="auto">
                    <a:xfrm>
                      <a:off x="0" y="0"/>
                      <a:ext cx="28346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648A228D" w14:textId="66968D1E" w:rsidR="009E574A" w:rsidRPr="00F573BF" w:rsidRDefault="009E574A" w:rsidP="00F573BF">
      <w:pPr>
        <w:pStyle w:val="Heading1"/>
      </w:pPr>
      <w:r w:rsidRPr="00F573BF">
        <w:t xml:space="preserve">DLI </w:t>
      </w:r>
      <w:r w:rsidR="00F573BF">
        <w:t>g</w:t>
      </w:r>
      <w:r w:rsidRPr="00F573BF">
        <w:t xml:space="preserve">rant </w:t>
      </w:r>
      <w:r w:rsidR="00F573BF">
        <w:t>b</w:t>
      </w:r>
      <w:r w:rsidRPr="00F573BF">
        <w:t xml:space="preserve">udget </w:t>
      </w:r>
      <w:r w:rsidR="00F573BF">
        <w:t>r</w:t>
      </w:r>
      <w:r w:rsidRPr="00F573BF">
        <w:t xml:space="preserve">equest </w:t>
      </w:r>
      <w:r w:rsidR="00F573BF">
        <w:t>f</w:t>
      </w:r>
      <w:r w:rsidRPr="00F573BF">
        <w:t>orm</w:t>
      </w:r>
    </w:p>
    <w:p w14:paraId="225C71B0" w14:textId="6A0A435D" w:rsidR="009E574A" w:rsidRDefault="009E574A" w:rsidP="009E574A">
      <w:pPr>
        <w:contextualSpacing/>
      </w:pPr>
      <w:r>
        <w:t xml:space="preserve">Grant </w:t>
      </w:r>
      <w:r w:rsidR="00F573BF">
        <w:t>p</w:t>
      </w:r>
      <w:r>
        <w:t xml:space="preserve">rogram </w:t>
      </w:r>
      <w:r w:rsidR="00F573BF">
        <w:t>n</w:t>
      </w:r>
      <w:r>
        <w:t xml:space="preserve">ame: </w:t>
      </w:r>
      <w:r w:rsidR="00F573BF">
        <w:t xml:space="preserve"> </w:t>
      </w:r>
      <w:r w:rsidR="005707C9" w:rsidRPr="00B92705">
        <w:t>Labor Education Advancement Program (LEAP)</w:t>
      </w:r>
    </w:p>
    <w:p w14:paraId="4F822715" w14:textId="26C72F76" w:rsidR="009E574A" w:rsidRDefault="009E574A" w:rsidP="009E574A">
      <w:pPr>
        <w:contextualSpacing/>
      </w:pPr>
      <w:r>
        <w:t xml:space="preserve">Organization </w:t>
      </w:r>
      <w:r w:rsidR="00F573BF">
        <w:t>n</w:t>
      </w:r>
      <w:r>
        <w:t xml:space="preserve">ame: </w:t>
      </w:r>
      <w:r w:rsidRPr="009E574A">
        <w:rPr>
          <w:color w:val="C00000"/>
        </w:rPr>
        <w:t>enter name</w:t>
      </w:r>
    </w:p>
    <w:p w14:paraId="4F2228AB" w14:textId="42749231" w:rsidR="009E574A" w:rsidRDefault="009E574A" w:rsidP="009E574A">
      <w:pPr>
        <w:contextualSpacing/>
      </w:pPr>
      <w:r>
        <w:t xml:space="preserve">Grant </w:t>
      </w:r>
      <w:r w:rsidR="00F573BF">
        <w:t>p</w:t>
      </w:r>
      <w:r>
        <w:t xml:space="preserve">eriod: </w:t>
      </w:r>
      <w:r w:rsidR="00E425FE" w:rsidRPr="00B92705">
        <w:t>September</w:t>
      </w:r>
      <w:r w:rsidR="005707C9" w:rsidRPr="00B92705">
        <w:t xml:space="preserve"> 2026 to </w:t>
      </w:r>
      <w:r w:rsidR="007D7127">
        <w:t>June 30, 2028</w:t>
      </w:r>
    </w:p>
    <w:p w14:paraId="64C64B27" w14:textId="0D1930DB" w:rsidR="009E574A" w:rsidRDefault="0074320F" w:rsidP="009E574A">
      <w:pPr>
        <w:contextualSpacing/>
        <w:rPr>
          <w:color w:val="C00000"/>
        </w:rPr>
      </w:pPr>
      <w:r>
        <w:t>Total</w:t>
      </w:r>
      <w:r w:rsidR="009E574A">
        <w:t xml:space="preserve"> </w:t>
      </w:r>
      <w:r w:rsidR="00F573BF">
        <w:t>r</w:t>
      </w:r>
      <w:r w:rsidR="00B92705">
        <w:t>equest</w:t>
      </w:r>
      <w:r w:rsidR="009E574A">
        <w:t xml:space="preserve">: </w:t>
      </w:r>
      <w:r w:rsidR="009E574A" w:rsidRPr="009E574A">
        <w:rPr>
          <w:color w:val="C00000"/>
        </w:rPr>
        <w:t>enter total</w:t>
      </w:r>
    </w:p>
    <w:sdt>
      <w:sdtPr>
        <w:id w:val="10729564"/>
        <w:docPartObj>
          <w:docPartGallery w:val="Cover Pages"/>
          <w:docPartUnique/>
        </w:docPartObj>
      </w:sdtPr>
      <w:sdtEndPr/>
      <w:sdtContent>
        <w:p w14:paraId="60C551B7" w14:textId="1A73E6E0" w:rsidR="00671238" w:rsidRPr="00984051" w:rsidRDefault="009E574A" w:rsidP="00984051">
          <w:pPr>
            <w:rPr>
              <w:rStyle w:val="Heading2Char"/>
            </w:rPr>
          </w:pPr>
          <w:r w:rsidRPr="009E574A">
            <w:rPr>
              <w:rStyle w:val="Heading2Char"/>
            </w:rPr>
            <w:t xml:space="preserve">Budget </w:t>
          </w:r>
          <w:r w:rsidR="00F573BF">
            <w:rPr>
              <w:rStyle w:val="Heading2Char"/>
            </w:rPr>
            <w:t>n</w:t>
          </w:r>
          <w:r w:rsidRPr="009E574A">
            <w:rPr>
              <w:rStyle w:val="Heading2Char"/>
            </w:rPr>
            <w:t>arrative</w:t>
          </w:r>
        </w:p>
        <w:tbl>
          <w:tblPr>
            <w:tblStyle w:val="TableGridLight"/>
            <w:tblW w:w="9660" w:type="dxa"/>
            <w:tblLayout w:type="fixed"/>
            <w:tblLook w:val="04A0" w:firstRow="1" w:lastRow="0" w:firstColumn="1" w:lastColumn="0" w:noHBand="0" w:noVBand="1"/>
            <w:tblDescription w:val="table"/>
          </w:tblPr>
          <w:tblGrid>
            <w:gridCol w:w="2245"/>
            <w:gridCol w:w="7415"/>
          </w:tblGrid>
          <w:tr w:rsidR="009E574A" w:rsidRPr="009E574A" w14:paraId="35CCF017" w14:textId="77777777" w:rsidTr="00CF1724">
            <w:trPr>
              <w:trHeight w:val="1306"/>
            </w:trPr>
            <w:tc>
              <w:tcPr>
                <w:tcW w:w="2245" w:type="dxa"/>
              </w:tcPr>
              <w:p w14:paraId="4A7D26DF" w14:textId="77777777" w:rsidR="009E574A" w:rsidRPr="009E574A" w:rsidRDefault="009E574A" w:rsidP="009E574A">
                <w:pPr>
                  <w:rPr>
                    <w:rStyle w:val="Bold"/>
                  </w:rPr>
                </w:pPr>
                <w:r w:rsidRPr="009E574A">
                  <w:rPr>
                    <w:rStyle w:val="Bold"/>
                    <w:color w:val="003865" w:themeColor="text1"/>
                  </w:rPr>
                  <w:t xml:space="preserve">Budget narrative categories </w:t>
                </w:r>
              </w:p>
            </w:tc>
            <w:tc>
              <w:tcPr>
                <w:tcW w:w="7415" w:type="dxa"/>
              </w:tcPr>
              <w:p w14:paraId="3E4919AB" w14:textId="77777777" w:rsidR="009E574A" w:rsidRPr="009E574A" w:rsidRDefault="009E574A" w:rsidP="009E574A">
                <w:pPr>
                  <w:rPr>
                    <w:rStyle w:val="Bold"/>
                    <w:color w:val="003865" w:themeColor="text1"/>
                  </w:rPr>
                </w:pPr>
                <w:r w:rsidRPr="009E574A">
                  <w:rPr>
                    <w:rStyle w:val="Bold"/>
                    <w:color w:val="003865" w:themeColor="text1"/>
                  </w:rPr>
                  <w:t>Detailed description</w:t>
                </w:r>
              </w:p>
              <w:p w14:paraId="156A9B1A" w14:textId="77777777" w:rsidR="009E574A" w:rsidRPr="00FA554F" w:rsidRDefault="009E574A" w:rsidP="009E574A">
                <w:pPr>
                  <w:rPr>
                    <w:i/>
                    <w:iCs/>
                  </w:rPr>
                </w:pPr>
                <w:r w:rsidRPr="00FA554F">
                  <w:rPr>
                    <w:i/>
                    <w:iCs/>
                  </w:rPr>
                  <w:t xml:space="preserve">Provide a detailed account of each </w:t>
                </w:r>
                <w:proofErr w:type="gramStart"/>
                <w:r w:rsidRPr="00FA554F">
                  <w:rPr>
                    <w:i/>
                    <w:iCs/>
                  </w:rPr>
                  <w:t>budget line</w:t>
                </w:r>
                <w:proofErr w:type="gramEnd"/>
                <w:r w:rsidRPr="00FA554F">
                  <w:rPr>
                    <w:i/>
                    <w:iCs/>
                  </w:rPr>
                  <w:t xml:space="preserve"> item included in the budget form for which you are requesting funding (for example, explain the roles and expenditures for personnel, types of training expenses, a breakdown of supports you will provide, etc.)</w:t>
                </w:r>
              </w:p>
            </w:tc>
          </w:tr>
          <w:tr w:rsidR="009E574A" w:rsidRPr="009E574A" w14:paraId="0855572A" w14:textId="77777777" w:rsidTr="00CF1724">
            <w:trPr>
              <w:trHeight w:val="782"/>
            </w:trPr>
            <w:tc>
              <w:tcPr>
                <w:tcW w:w="2245" w:type="dxa"/>
                <w:vAlign w:val="center"/>
              </w:tcPr>
              <w:p w14:paraId="12236C50" w14:textId="77777777" w:rsidR="009E574A" w:rsidRPr="009E574A" w:rsidRDefault="009E574A" w:rsidP="009E574A">
                <w:pPr>
                  <w:rPr>
                    <w:rStyle w:val="Bold"/>
                  </w:rPr>
                </w:pPr>
                <w:r w:rsidRPr="009E574A">
                  <w:rPr>
                    <w:rStyle w:val="Bold"/>
                  </w:rPr>
                  <w:t xml:space="preserve">Personnel </w:t>
                </w:r>
              </w:p>
            </w:tc>
            <w:tc>
              <w:tcPr>
                <w:tcW w:w="7415" w:type="dxa"/>
                <w:shd w:val="clear" w:color="auto" w:fill="auto"/>
                <w:vAlign w:val="center"/>
              </w:tcPr>
              <w:p w14:paraId="5E5CF4B1" w14:textId="77777777" w:rsidR="002E5107" w:rsidRPr="00094384" w:rsidRDefault="002E5107" w:rsidP="002E5107">
                <w:pPr>
                  <w:spacing w:before="200" w:after="0" w:line="271" w:lineRule="auto"/>
                  <w:rPr>
                    <w:rFonts w:cs="Calibri"/>
                    <w:bCs/>
                  </w:rPr>
                </w:pPr>
                <w:r w:rsidRPr="00094384">
                  <w:rPr>
                    <w:rFonts w:cs="Calibri"/>
                    <w:bCs/>
                  </w:rPr>
                  <w:t xml:space="preserve">Employee wages and benefits </w:t>
                </w:r>
                <w:proofErr w:type="gramStart"/>
                <w:r w:rsidRPr="00094384">
                  <w:rPr>
                    <w:rFonts w:cs="Calibri"/>
                    <w:bCs/>
                  </w:rPr>
                  <w:t>directly</w:t>
                </w:r>
                <w:proofErr w:type="gramEnd"/>
                <w:r w:rsidRPr="00094384">
                  <w:rPr>
                    <w:rFonts w:cs="Calibri"/>
                    <w:bCs/>
                  </w:rPr>
                  <w:t xml:space="preserve"> related to grant program activities and reporting.</w:t>
                </w:r>
              </w:p>
              <w:p w14:paraId="2F240531" w14:textId="77777777" w:rsidR="002E5107" w:rsidRPr="00094384" w:rsidRDefault="002E5107" w:rsidP="002E5107">
                <w:pPr>
                  <w:spacing w:before="200" w:after="0" w:line="271" w:lineRule="auto"/>
                  <w:rPr>
                    <w:rFonts w:cs="Calibri"/>
                    <w:bCs/>
                  </w:rPr>
                </w:pPr>
                <w:r w:rsidRPr="00094384">
                  <w:rPr>
                    <w:rFonts w:cs="Calibri"/>
                    <w:bCs/>
                  </w:rPr>
                  <w:t>Please identify the position(s) funded by this grant, the hourly rate (wages plus fringe), number of hours billed to the grant, and the total.</w:t>
                </w:r>
              </w:p>
              <w:p w14:paraId="3FDEBF9E" w14:textId="4B82689B" w:rsidR="002E5107" w:rsidRDefault="002E5107" w:rsidP="002E5107">
                <w:pPr>
                  <w:rPr>
                    <w:rFonts w:cs="Calibri"/>
                    <w:bCs/>
                    <w:i/>
                    <w:iCs/>
                  </w:rPr>
                </w:pPr>
                <w:r w:rsidRPr="00094384">
                  <w:rPr>
                    <w:rFonts w:cs="Calibri"/>
                    <w:bCs/>
                    <w:i/>
                    <w:iCs/>
                  </w:rPr>
                  <w:t xml:space="preserve">Example: Project </w:t>
                </w:r>
                <w:r w:rsidR="00F573BF">
                  <w:rPr>
                    <w:rFonts w:cs="Calibri"/>
                    <w:bCs/>
                    <w:i/>
                    <w:iCs/>
                  </w:rPr>
                  <w:t>c</w:t>
                </w:r>
                <w:r w:rsidRPr="00094384">
                  <w:rPr>
                    <w:rFonts w:cs="Calibri"/>
                    <w:bCs/>
                    <w:i/>
                    <w:iCs/>
                  </w:rPr>
                  <w:t xml:space="preserve">oordinator, $31.25 / </w:t>
                </w:r>
                <w:proofErr w:type="spellStart"/>
                <w:r w:rsidRPr="00094384">
                  <w:rPr>
                    <w:rFonts w:cs="Calibri"/>
                    <w:bCs/>
                    <w:i/>
                    <w:iCs/>
                  </w:rPr>
                  <w:t>hr</w:t>
                </w:r>
                <w:proofErr w:type="spellEnd"/>
                <w:r w:rsidRPr="00094384">
                  <w:rPr>
                    <w:rFonts w:cs="Calibri"/>
                    <w:bCs/>
                    <w:i/>
                    <w:iCs/>
                  </w:rPr>
                  <w:t xml:space="preserve"> x 80 </w:t>
                </w:r>
                <w:proofErr w:type="spellStart"/>
                <w:r w:rsidRPr="00094384">
                  <w:rPr>
                    <w:rFonts w:cs="Calibri"/>
                    <w:bCs/>
                    <w:i/>
                    <w:iCs/>
                  </w:rPr>
                  <w:t>hrs</w:t>
                </w:r>
                <w:proofErr w:type="spellEnd"/>
                <w:r w:rsidRPr="00094384">
                  <w:rPr>
                    <w:rFonts w:cs="Calibri"/>
                    <w:bCs/>
                    <w:i/>
                    <w:iCs/>
                  </w:rPr>
                  <w:t xml:space="preserve"> = $2,500</w:t>
                </w:r>
              </w:p>
              <w:p w14:paraId="63E94DAA" w14:textId="3DAA0DC3" w:rsidR="009E574A" w:rsidRPr="002E5107" w:rsidRDefault="009E574A" w:rsidP="002E5107">
                <w:pPr>
                  <w:rPr>
                    <w:b/>
                    <w:bCs/>
                  </w:rPr>
                </w:pPr>
                <w:r w:rsidRPr="002E5107">
                  <w:rPr>
                    <w:b/>
                    <w:bCs/>
                    <w:color w:val="C00000"/>
                  </w:rPr>
                  <w:t>Narrative:</w:t>
                </w:r>
              </w:p>
            </w:tc>
          </w:tr>
          <w:tr w:rsidR="009E574A" w:rsidRPr="009E574A" w14:paraId="01E51476" w14:textId="77777777" w:rsidTr="00CF1724">
            <w:trPr>
              <w:trHeight w:val="782"/>
            </w:trPr>
            <w:tc>
              <w:tcPr>
                <w:tcW w:w="2245" w:type="dxa"/>
                <w:vAlign w:val="center"/>
              </w:tcPr>
              <w:p w14:paraId="4CFDA905" w14:textId="77777777" w:rsidR="009E574A" w:rsidRPr="009E574A" w:rsidRDefault="009E574A" w:rsidP="009E574A">
                <w:pPr>
                  <w:rPr>
                    <w:rStyle w:val="Bold"/>
                  </w:rPr>
                </w:pPr>
                <w:r w:rsidRPr="009E574A">
                  <w:rPr>
                    <w:rStyle w:val="Bold"/>
                  </w:rPr>
                  <w:t>Travel</w:t>
                </w:r>
              </w:p>
            </w:tc>
            <w:tc>
              <w:tcPr>
                <w:tcW w:w="7415" w:type="dxa"/>
                <w:shd w:val="clear" w:color="auto" w:fill="auto"/>
                <w:vAlign w:val="center"/>
              </w:tcPr>
              <w:p w14:paraId="3A49F896" w14:textId="651869F3" w:rsidR="009E574A" w:rsidRPr="002E5107" w:rsidRDefault="009E574A" w:rsidP="009E574A">
                <w:r w:rsidRPr="002E5107">
                  <w:t xml:space="preserve">Grant program related staff travel expenses. Use </w:t>
                </w:r>
                <w:r w:rsidR="009C76CF" w:rsidRPr="002E5107">
                  <w:t xml:space="preserve">the </w:t>
                </w:r>
                <w:r w:rsidRPr="002E5107">
                  <w:t xml:space="preserve">current federal </w:t>
                </w:r>
                <w:r w:rsidR="009C76CF" w:rsidRPr="002E5107">
                  <w:t xml:space="preserve">mileage </w:t>
                </w:r>
                <w:r w:rsidRPr="002E5107">
                  <w:t xml:space="preserve">rate for calculations and </w:t>
                </w:r>
                <w:r w:rsidR="009C76CF" w:rsidRPr="002E5107">
                  <w:t>align costs</w:t>
                </w:r>
                <w:r w:rsidRPr="002E5107">
                  <w:t xml:space="preserve"> to the Minnesota Department of Administration </w:t>
                </w:r>
                <w:hyperlink r:id="rId9" w:history="1">
                  <w:r w:rsidRPr="002E5107">
                    <w:rPr>
                      <w:rStyle w:val="Hyperlink"/>
                      <w:color w:val="auto"/>
                    </w:rPr>
                    <w:t>Commissioner’s Plan</w:t>
                  </w:r>
                </w:hyperlink>
                <w:r w:rsidRPr="002E5107">
                  <w:t>.</w:t>
                </w:r>
              </w:p>
              <w:p w14:paraId="42D26F2E" w14:textId="74A5868F" w:rsidR="009E574A" w:rsidRDefault="009E574A" w:rsidP="009E574A">
                <w:r w:rsidRPr="00984051">
                  <w:rPr>
                    <w:color w:val="C00000"/>
                  </w:rPr>
                  <w:t xml:space="preserve">No out of state travel </w:t>
                </w:r>
                <w:proofErr w:type="gramStart"/>
                <w:r w:rsidRPr="00984051">
                  <w:rPr>
                    <w:color w:val="C00000"/>
                  </w:rPr>
                  <w:t>allowed</w:t>
                </w:r>
                <w:proofErr w:type="gramEnd"/>
                <w:r w:rsidRPr="00984051">
                  <w:rPr>
                    <w:color w:val="C00000"/>
                  </w:rPr>
                  <w:t xml:space="preserve">. </w:t>
                </w:r>
                <w:r w:rsidRPr="002E5107">
                  <w:t>Minnesota will be considered the home state for determining whether travel is out of state.</w:t>
                </w:r>
              </w:p>
              <w:p w14:paraId="49F3A42D" w14:textId="22EE376E" w:rsidR="002E5107" w:rsidRPr="009E574A" w:rsidRDefault="002E5107" w:rsidP="009E574A">
                <w:pPr>
                  <w:rPr>
                    <w:color w:val="003865" w:themeColor="text1"/>
                  </w:rPr>
                </w:pPr>
                <w:r w:rsidRPr="00094384">
                  <w:rPr>
                    <w:rFonts w:cs="Calibri"/>
                    <w:bCs/>
                    <w:i/>
                    <w:iCs/>
                  </w:rPr>
                  <w:t xml:space="preserve">Example: hotel for 2 nights at $170 / night = $340; mileage at </w:t>
                </w:r>
                <w:proofErr w:type="gramStart"/>
                <w:r w:rsidRPr="00094384">
                  <w:rPr>
                    <w:rFonts w:cs="Calibri"/>
                    <w:bCs/>
                    <w:i/>
                    <w:iCs/>
                  </w:rPr>
                  <w:t>.725-cents</w:t>
                </w:r>
                <w:proofErr w:type="gramEnd"/>
                <w:r w:rsidRPr="00094384">
                  <w:rPr>
                    <w:rFonts w:cs="Calibri"/>
                    <w:bCs/>
                    <w:i/>
                    <w:iCs/>
                  </w:rPr>
                  <w:t xml:space="preserve"> / mile x 700 miles = $507.50; meal reimbursements at $43 / day x 2 days = $86</w:t>
                </w:r>
              </w:p>
              <w:p w14:paraId="1E0005A4" w14:textId="77777777" w:rsidR="009E574A" w:rsidRPr="002E5107" w:rsidRDefault="009E574A" w:rsidP="009E574A">
                <w:pPr>
                  <w:rPr>
                    <w:b/>
                    <w:bCs/>
                  </w:rPr>
                </w:pPr>
                <w:r w:rsidRPr="002E5107">
                  <w:rPr>
                    <w:b/>
                    <w:bCs/>
                    <w:color w:val="C00000"/>
                  </w:rPr>
                  <w:t>Narrative:</w:t>
                </w:r>
              </w:p>
            </w:tc>
          </w:tr>
          <w:tr w:rsidR="009E574A" w:rsidRPr="009E574A" w14:paraId="7714AAB6" w14:textId="77777777" w:rsidTr="00CF1724">
            <w:trPr>
              <w:trHeight w:val="782"/>
            </w:trPr>
            <w:tc>
              <w:tcPr>
                <w:tcW w:w="2245" w:type="dxa"/>
                <w:vAlign w:val="center"/>
              </w:tcPr>
              <w:p w14:paraId="4C4EA8F7" w14:textId="77777777" w:rsidR="009E574A" w:rsidRPr="009E574A" w:rsidRDefault="009E574A" w:rsidP="009E574A">
                <w:pPr>
                  <w:rPr>
                    <w:rStyle w:val="Bold"/>
                  </w:rPr>
                </w:pPr>
                <w:r w:rsidRPr="009E574A">
                  <w:rPr>
                    <w:rStyle w:val="Bold"/>
                  </w:rPr>
                  <w:t>Supplies and materials</w:t>
                </w:r>
              </w:p>
            </w:tc>
            <w:tc>
              <w:tcPr>
                <w:tcW w:w="7415" w:type="dxa"/>
                <w:vAlign w:val="center"/>
              </w:tcPr>
              <w:p w14:paraId="0264E8CB" w14:textId="77777777" w:rsidR="002E5107" w:rsidRPr="00094384" w:rsidRDefault="002E5107" w:rsidP="002E5107">
                <w:pPr>
                  <w:spacing w:before="200" w:after="0" w:line="271" w:lineRule="auto"/>
                  <w:ind w:right="106"/>
                  <w:rPr>
                    <w:rFonts w:cs="Calibri"/>
                    <w:bCs/>
                  </w:rPr>
                </w:pPr>
                <w:r w:rsidRPr="00094384">
                  <w:rPr>
                    <w:rFonts w:cs="Calibri"/>
                    <w:bCs/>
                  </w:rPr>
                  <w:t>Office and training materials and supplies directly supporting LEAP Grant.</w:t>
                </w:r>
              </w:p>
              <w:p w14:paraId="7443645F" w14:textId="77777777" w:rsidR="002E5107" w:rsidRPr="00094384" w:rsidRDefault="002E5107" w:rsidP="002E5107">
                <w:pPr>
                  <w:spacing w:before="200" w:after="0" w:line="271" w:lineRule="auto"/>
                  <w:ind w:right="106"/>
                  <w:rPr>
                    <w:rFonts w:cs="Calibri"/>
                    <w:bCs/>
                  </w:rPr>
                </w:pPr>
                <w:r w:rsidRPr="00094384">
                  <w:rPr>
                    <w:rFonts w:cs="Calibri"/>
                    <w:bCs/>
                  </w:rPr>
                  <w:t>Tools, supplies, materials and curricula expenses related to developing and upgrading training and instruction for clean economy occupations.</w:t>
                </w:r>
              </w:p>
              <w:p w14:paraId="586E8C4B" w14:textId="77777777" w:rsidR="002E5107" w:rsidRPr="00094384" w:rsidRDefault="002E5107" w:rsidP="002E5107">
                <w:pPr>
                  <w:spacing w:before="200" w:after="0" w:line="271" w:lineRule="auto"/>
                  <w:ind w:right="106"/>
                  <w:rPr>
                    <w:rFonts w:cs="Calibri"/>
                    <w:bCs/>
                  </w:rPr>
                </w:pPr>
                <w:r w:rsidRPr="00094384">
                  <w:rPr>
                    <w:rFonts w:cs="Calibri"/>
                    <w:bCs/>
                  </w:rPr>
                  <w:t xml:space="preserve">Please </w:t>
                </w:r>
                <w:proofErr w:type="gramStart"/>
                <w:r w:rsidRPr="00094384">
                  <w:rPr>
                    <w:rFonts w:cs="Calibri"/>
                    <w:bCs/>
                  </w:rPr>
                  <w:t>breakout</w:t>
                </w:r>
                <w:proofErr w:type="gramEnd"/>
                <w:r w:rsidRPr="00094384">
                  <w:rPr>
                    <w:rFonts w:cs="Calibri"/>
                    <w:bCs/>
                  </w:rPr>
                  <w:t xml:space="preserve"> your supply expenses, where possible.</w:t>
                </w:r>
              </w:p>
              <w:p w14:paraId="2F78EA33" w14:textId="023BA38C" w:rsidR="002E5107" w:rsidRDefault="002E5107" w:rsidP="002E5107">
                <w:pPr>
                  <w:rPr>
                    <w:rFonts w:cs="Calibri"/>
                    <w:bCs/>
                    <w:i/>
                    <w:iCs/>
                  </w:rPr>
                </w:pPr>
                <w:r w:rsidRPr="00094384">
                  <w:rPr>
                    <w:rFonts w:cs="Calibri"/>
                    <w:bCs/>
                    <w:i/>
                    <w:iCs/>
                  </w:rPr>
                  <w:lastRenderedPageBreak/>
                  <w:t xml:space="preserve">EXAMPLE: Work readiness materials $50 / participant x 10 = $500; non-durable project materials (lumber, screws, nails, glue, </w:t>
                </w:r>
                <w:proofErr w:type="spellStart"/>
                <w:r w:rsidRPr="00094384">
                  <w:rPr>
                    <w:rFonts w:cs="Calibri"/>
                    <w:bCs/>
                    <w:i/>
                    <w:iCs/>
                  </w:rPr>
                  <w:t>thinset</w:t>
                </w:r>
                <w:proofErr w:type="spellEnd"/>
                <w:r w:rsidRPr="00094384">
                  <w:rPr>
                    <w:rFonts w:cs="Calibri"/>
                    <w:bCs/>
                    <w:i/>
                    <w:iCs/>
                  </w:rPr>
                  <w:t>, etc.) estimated at $1</w:t>
                </w:r>
                <w:r w:rsidR="00F573BF">
                  <w:rPr>
                    <w:rFonts w:cs="Calibri"/>
                    <w:bCs/>
                    <w:i/>
                    <w:iCs/>
                  </w:rPr>
                  <w:t>,</w:t>
                </w:r>
                <w:r w:rsidRPr="00094384">
                  <w:rPr>
                    <w:rFonts w:cs="Calibri"/>
                    <w:bCs/>
                    <w:i/>
                    <w:iCs/>
                  </w:rPr>
                  <w:t>500 / cohort</w:t>
                </w:r>
              </w:p>
              <w:p w14:paraId="37ACB125" w14:textId="19F38D1A" w:rsidR="009E574A" w:rsidRPr="002E5107" w:rsidRDefault="009E574A" w:rsidP="002E5107">
                <w:pPr>
                  <w:rPr>
                    <w:b/>
                    <w:bCs/>
                  </w:rPr>
                </w:pPr>
                <w:r w:rsidRPr="002E5107">
                  <w:rPr>
                    <w:b/>
                    <w:bCs/>
                    <w:color w:val="C00000"/>
                  </w:rPr>
                  <w:t>Narrative:</w:t>
                </w:r>
              </w:p>
            </w:tc>
          </w:tr>
          <w:tr w:rsidR="009E574A" w:rsidRPr="009E574A" w14:paraId="10AB7DE4" w14:textId="77777777" w:rsidTr="00CF1724">
            <w:trPr>
              <w:trHeight w:val="782"/>
            </w:trPr>
            <w:tc>
              <w:tcPr>
                <w:tcW w:w="2245" w:type="dxa"/>
                <w:vAlign w:val="center"/>
              </w:tcPr>
              <w:p w14:paraId="6EE5FE5A" w14:textId="77777777" w:rsidR="009E574A" w:rsidRPr="009E574A" w:rsidRDefault="009E574A" w:rsidP="009E574A">
                <w:pPr>
                  <w:rPr>
                    <w:rStyle w:val="Bold"/>
                  </w:rPr>
                </w:pPr>
                <w:r w:rsidRPr="009E574A">
                  <w:rPr>
                    <w:rStyle w:val="Bold"/>
                  </w:rPr>
                  <w:lastRenderedPageBreak/>
                  <w:t>Contractual</w:t>
                </w:r>
              </w:p>
            </w:tc>
            <w:tc>
              <w:tcPr>
                <w:tcW w:w="7415" w:type="dxa"/>
                <w:vAlign w:val="center"/>
              </w:tcPr>
              <w:p w14:paraId="085BB4D1" w14:textId="069B3C1A" w:rsidR="009E574A" w:rsidRPr="002E5107" w:rsidRDefault="009E574A" w:rsidP="009E574A">
                <w:r w:rsidRPr="002E5107">
                  <w:t xml:space="preserve">Vendor services necessary to provide grant program activities and services. This could include, for example, marketing vendors, translation services or payments to contracted project partners. </w:t>
                </w:r>
                <w:proofErr w:type="gramStart"/>
                <w:r w:rsidRPr="002E5107">
                  <w:t>List</w:t>
                </w:r>
                <w:proofErr w:type="gramEnd"/>
                <w:r w:rsidRPr="002E5107">
                  <w:t xml:space="preserve"> contractor name and/or anticipated service.</w:t>
                </w:r>
              </w:p>
              <w:p w14:paraId="6A291DDE" w14:textId="1782D545" w:rsidR="002E5107" w:rsidRPr="009E574A" w:rsidRDefault="002E5107" w:rsidP="009E574A">
                <w:pPr>
                  <w:rPr>
                    <w:color w:val="003865" w:themeColor="text1"/>
                  </w:rPr>
                </w:pPr>
                <w:r w:rsidRPr="00094384">
                  <w:rPr>
                    <w:rFonts w:cs="Calibri"/>
                    <w:bCs/>
                    <w:i/>
                    <w:iCs/>
                  </w:rPr>
                  <w:t>Example: $5,000 to marketing firm for recruitment</w:t>
                </w:r>
              </w:p>
              <w:p w14:paraId="41345B9D" w14:textId="77777777" w:rsidR="009E574A" w:rsidRPr="002E5107" w:rsidRDefault="009E574A" w:rsidP="009E574A">
                <w:pPr>
                  <w:rPr>
                    <w:b/>
                    <w:bCs/>
                  </w:rPr>
                </w:pPr>
                <w:r w:rsidRPr="002E5107">
                  <w:rPr>
                    <w:b/>
                    <w:bCs/>
                    <w:color w:val="C00000"/>
                  </w:rPr>
                  <w:t>Narrative:</w:t>
                </w:r>
              </w:p>
            </w:tc>
          </w:tr>
          <w:tr w:rsidR="002E5107" w:rsidRPr="009E574A" w14:paraId="0B777781" w14:textId="77777777" w:rsidTr="00CF1724">
            <w:trPr>
              <w:trHeight w:val="782"/>
            </w:trPr>
            <w:tc>
              <w:tcPr>
                <w:tcW w:w="2245" w:type="dxa"/>
                <w:vAlign w:val="center"/>
              </w:tcPr>
              <w:p w14:paraId="40E0DB69" w14:textId="64F3D673" w:rsidR="002E5107" w:rsidRDefault="002E5107" w:rsidP="009E574A">
                <w:pPr>
                  <w:rPr>
                    <w:rStyle w:val="Bold"/>
                  </w:rPr>
                </w:pPr>
                <w:r>
                  <w:rPr>
                    <w:rStyle w:val="Bold"/>
                  </w:rPr>
                  <w:t xml:space="preserve">Communications and </w:t>
                </w:r>
                <w:r w:rsidR="00F573BF">
                  <w:rPr>
                    <w:rStyle w:val="Bold"/>
                  </w:rPr>
                  <w:t>o</w:t>
                </w:r>
                <w:r>
                  <w:rPr>
                    <w:rStyle w:val="Bold"/>
                  </w:rPr>
                  <w:t>utreach</w:t>
                </w:r>
              </w:p>
            </w:tc>
            <w:tc>
              <w:tcPr>
                <w:tcW w:w="7415" w:type="dxa"/>
                <w:vAlign w:val="center"/>
              </w:tcPr>
              <w:p w14:paraId="281BDC36" w14:textId="77777777" w:rsidR="002E5107" w:rsidRPr="00094384" w:rsidRDefault="002E5107" w:rsidP="002E5107">
                <w:pPr>
                  <w:spacing w:before="200" w:after="0" w:line="271" w:lineRule="auto"/>
                  <w:rPr>
                    <w:rFonts w:cs="Calibri"/>
                    <w:bCs/>
                  </w:rPr>
                </w:pPr>
                <w:r w:rsidRPr="00094384">
                  <w:rPr>
                    <w:rFonts w:cs="Calibri"/>
                    <w:bCs/>
                  </w:rPr>
                  <w:t>Expenses related to recruiting for grant programs participants.</w:t>
                </w:r>
              </w:p>
              <w:p w14:paraId="4FDBBBF6" w14:textId="77777777" w:rsidR="002E5107" w:rsidRPr="00094384" w:rsidRDefault="002E5107" w:rsidP="002E5107">
                <w:pPr>
                  <w:spacing w:before="200" w:after="0" w:line="271" w:lineRule="auto"/>
                  <w:rPr>
                    <w:rFonts w:cs="Calibri"/>
                    <w:bCs/>
                  </w:rPr>
                </w:pPr>
                <w:r w:rsidRPr="00094384">
                  <w:rPr>
                    <w:rFonts w:cs="Calibri"/>
                    <w:bCs/>
                  </w:rPr>
                  <w:t xml:space="preserve">Please outline your estimated expenses where possible. </w:t>
                </w:r>
              </w:p>
              <w:p w14:paraId="42B65460" w14:textId="57A4D727" w:rsidR="002E5107" w:rsidRDefault="002E5107" w:rsidP="002E5107">
                <w:pPr>
                  <w:rPr>
                    <w:rFonts w:cs="Calibri"/>
                    <w:bCs/>
                  </w:rPr>
                </w:pPr>
                <w:r w:rsidRPr="00094384">
                  <w:rPr>
                    <w:rFonts w:cs="Calibri"/>
                    <w:bCs/>
                    <w:i/>
                    <w:iCs/>
                  </w:rPr>
                  <w:t>EXAMPLE: $200 for radio ads; $1</w:t>
                </w:r>
                <w:r w:rsidR="00F573BF">
                  <w:rPr>
                    <w:rFonts w:cs="Calibri"/>
                    <w:bCs/>
                    <w:i/>
                    <w:iCs/>
                  </w:rPr>
                  <w:t>,</w:t>
                </w:r>
                <w:r w:rsidRPr="00094384">
                  <w:rPr>
                    <w:rFonts w:cs="Calibri"/>
                    <w:bCs/>
                    <w:i/>
                    <w:iCs/>
                  </w:rPr>
                  <w:t>000 for social media posts</w:t>
                </w:r>
                <w:r w:rsidRPr="00094384">
                  <w:rPr>
                    <w:rFonts w:cs="Calibri"/>
                    <w:bCs/>
                  </w:rPr>
                  <w:t>.</w:t>
                </w:r>
              </w:p>
              <w:p w14:paraId="0D4E2F41" w14:textId="294CC276" w:rsidR="002E5107" w:rsidRPr="002E5107" w:rsidRDefault="002E5107" w:rsidP="002E5107">
                <w:pPr>
                  <w:rPr>
                    <w:b/>
                    <w:color w:val="003865" w:themeColor="text1"/>
                  </w:rPr>
                </w:pPr>
                <w:r w:rsidRPr="002E5107">
                  <w:rPr>
                    <w:rFonts w:cs="Calibri"/>
                    <w:b/>
                    <w:color w:val="C00000"/>
                  </w:rPr>
                  <w:t>Narrative:</w:t>
                </w:r>
              </w:p>
            </w:tc>
          </w:tr>
          <w:tr w:rsidR="009E574A" w:rsidRPr="009E574A" w14:paraId="79CB1692" w14:textId="77777777" w:rsidTr="00CF1724">
            <w:trPr>
              <w:trHeight w:val="782"/>
            </w:trPr>
            <w:tc>
              <w:tcPr>
                <w:tcW w:w="2245" w:type="dxa"/>
                <w:vAlign w:val="center"/>
              </w:tcPr>
              <w:p w14:paraId="1E093DDE" w14:textId="7976F94D" w:rsidR="009E574A" w:rsidRPr="009E574A" w:rsidRDefault="00B92705" w:rsidP="009E574A">
                <w:pPr>
                  <w:rPr>
                    <w:rStyle w:val="Bold"/>
                  </w:rPr>
                </w:pPr>
                <w:r>
                  <w:rPr>
                    <w:rStyle w:val="Bold"/>
                  </w:rPr>
                  <w:t xml:space="preserve">Supportive </w:t>
                </w:r>
                <w:r w:rsidR="00F573BF">
                  <w:rPr>
                    <w:rStyle w:val="Bold"/>
                  </w:rPr>
                  <w:t>s</w:t>
                </w:r>
                <w:r>
                  <w:rPr>
                    <w:rStyle w:val="Bold"/>
                  </w:rPr>
                  <w:t>ervices</w:t>
                </w:r>
                <w:r w:rsidR="009E574A" w:rsidRPr="009E574A">
                  <w:rPr>
                    <w:rStyle w:val="Bold"/>
                  </w:rPr>
                  <w:t xml:space="preserve"> </w:t>
                </w:r>
              </w:p>
            </w:tc>
            <w:tc>
              <w:tcPr>
                <w:tcW w:w="7415" w:type="dxa"/>
                <w:vAlign w:val="center"/>
              </w:tcPr>
              <w:p w14:paraId="46344A2D" w14:textId="13986903" w:rsidR="002E5107" w:rsidRPr="00094384" w:rsidRDefault="002E5107" w:rsidP="002E5107">
                <w:pPr>
                  <w:spacing w:before="200" w:after="0" w:line="271" w:lineRule="auto"/>
                  <w:rPr>
                    <w:rFonts w:cs="Calibri"/>
                    <w:bCs/>
                  </w:rPr>
                </w:pPr>
                <w:r w:rsidRPr="00094384">
                  <w:rPr>
                    <w:rFonts w:cs="Calibri"/>
                    <w:bCs/>
                  </w:rPr>
                  <w:t>Participant assessment services, mentoring and training. Participant bus/rail ticket fare, gas cards, daycare expenses, tools, boots and personal safety equipment related to the apprenticeship placement.</w:t>
                </w:r>
              </w:p>
              <w:p w14:paraId="5F0E7A56" w14:textId="77777777" w:rsidR="002E5107" w:rsidRPr="00094384" w:rsidRDefault="002E5107" w:rsidP="002E5107">
                <w:pPr>
                  <w:spacing w:before="200" w:after="0" w:line="271" w:lineRule="auto"/>
                  <w:rPr>
                    <w:rFonts w:cs="Calibri"/>
                    <w:bCs/>
                  </w:rPr>
                </w:pPr>
                <w:r w:rsidRPr="00094384">
                  <w:rPr>
                    <w:rFonts w:cs="Calibri"/>
                    <w:bCs/>
                  </w:rPr>
                  <w:t>Please give a breakdown of expenses where possible.</w:t>
                </w:r>
              </w:p>
              <w:p w14:paraId="180CA142" w14:textId="0E665D24" w:rsidR="002E5107" w:rsidRDefault="002E5107" w:rsidP="002E5107">
                <w:pPr>
                  <w:rPr>
                    <w:rFonts w:cs="Calibri"/>
                    <w:bCs/>
                    <w:i/>
                    <w:iCs/>
                  </w:rPr>
                </w:pPr>
                <w:r w:rsidRPr="00094384">
                  <w:rPr>
                    <w:rFonts w:cs="Calibri"/>
                    <w:bCs/>
                    <w:i/>
                    <w:iCs/>
                  </w:rPr>
                  <w:t>EXAMPLE: 10 x $100 gas cards - $1</w:t>
                </w:r>
                <w:r w:rsidR="00F573BF">
                  <w:rPr>
                    <w:rFonts w:cs="Calibri"/>
                    <w:bCs/>
                    <w:i/>
                    <w:iCs/>
                  </w:rPr>
                  <w:t>,</w:t>
                </w:r>
                <w:r w:rsidRPr="00094384">
                  <w:rPr>
                    <w:rFonts w:cs="Calibri"/>
                    <w:bCs/>
                    <w:i/>
                    <w:iCs/>
                  </w:rPr>
                  <w:t>000; 3 x $250 / set of tools = $750</w:t>
                </w:r>
              </w:p>
              <w:p w14:paraId="374C00E5" w14:textId="0247D03F" w:rsidR="009E574A" w:rsidRPr="002E5107" w:rsidRDefault="009E574A" w:rsidP="002E5107">
                <w:pPr>
                  <w:rPr>
                    <w:b/>
                    <w:bCs/>
                  </w:rPr>
                </w:pPr>
                <w:r w:rsidRPr="002E5107">
                  <w:rPr>
                    <w:b/>
                    <w:bCs/>
                    <w:color w:val="C00000"/>
                  </w:rPr>
                  <w:t>Narrative:</w:t>
                </w:r>
              </w:p>
            </w:tc>
          </w:tr>
          <w:tr w:rsidR="009E574A" w:rsidRPr="009E574A" w14:paraId="56020C0C" w14:textId="77777777" w:rsidTr="00CF1724">
            <w:trPr>
              <w:trHeight w:val="782"/>
            </w:trPr>
            <w:tc>
              <w:tcPr>
                <w:tcW w:w="2245" w:type="dxa"/>
                <w:vAlign w:val="center"/>
              </w:tcPr>
              <w:p w14:paraId="7F2DE6E1" w14:textId="77777777" w:rsidR="009E574A" w:rsidRPr="009E574A" w:rsidRDefault="009E574A" w:rsidP="009E574A">
                <w:pPr>
                  <w:rPr>
                    <w:rStyle w:val="Bold"/>
                  </w:rPr>
                </w:pPr>
                <w:r w:rsidRPr="009E574A">
                  <w:rPr>
                    <w:rStyle w:val="Bold"/>
                  </w:rPr>
                  <w:t>Administrative costs</w:t>
                </w:r>
              </w:p>
            </w:tc>
            <w:tc>
              <w:tcPr>
                <w:tcW w:w="7415" w:type="dxa"/>
                <w:vAlign w:val="center"/>
              </w:tcPr>
              <w:p w14:paraId="1EFF5215" w14:textId="5901438C" w:rsidR="009E574A" w:rsidRPr="002E5107" w:rsidRDefault="009E574A" w:rsidP="009E574A">
                <w:pPr>
                  <w:rPr>
                    <w:bCs/>
                  </w:rPr>
                </w:pPr>
                <w:r w:rsidRPr="002E5107">
                  <w:rPr>
                    <w:bCs/>
                  </w:rPr>
                  <w:t>Expenses incurred by grant recipients in support of the day-to-day operations of their organization that are not directly tied to a specific program purpose. Administrative costs may include, but are not limited to, administrative oversight, accounting support, insurance, and facilities. Administrative costs can be for personnel, non-personnel, direct or indirect. Personnel and related non-</w:t>
                </w:r>
                <w:proofErr w:type="gramStart"/>
                <w:r w:rsidRPr="002E5107">
                  <w:rPr>
                    <w:bCs/>
                  </w:rPr>
                  <w:t>personnel of</w:t>
                </w:r>
                <w:proofErr w:type="gramEnd"/>
                <w:r w:rsidRPr="002E5107">
                  <w:rPr>
                    <w:bCs/>
                  </w:rPr>
                  <w:t xml:space="preserve"> staff who perform a portion of both administrative and programmatic services should have their time allocated between the two different cost types.  </w:t>
                </w:r>
              </w:p>
              <w:p w14:paraId="43FCAB59" w14:textId="4E0F19D7" w:rsidR="009E574A" w:rsidRPr="002E5107" w:rsidRDefault="009E574A" w:rsidP="009E574A">
                <w:r w:rsidRPr="002E5107">
                  <w:t>Administrative costs cannot exceed</w:t>
                </w:r>
                <w:r w:rsidR="00B92705" w:rsidRPr="002E5107">
                  <w:t xml:space="preserve"> 10%</w:t>
                </w:r>
                <w:r w:rsidRPr="002E5107">
                  <w:t xml:space="preserve"> of the total grant budget.</w:t>
                </w:r>
              </w:p>
              <w:p w14:paraId="4F464641" w14:textId="7E674912" w:rsidR="009E574A" w:rsidRPr="009E574A" w:rsidRDefault="009E574A" w:rsidP="009E574A">
                <w:r w:rsidRPr="002E5107">
                  <w:rPr>
                    <w:b/>
                    <w:bCs/>
                    <w:color w:val="C00000"/>
                  </w:rPr>
                  <w:t xml:space="preserve">Narrative: </w:t>
                </w:r>
              </w:p>
            </w:tc>
          </w:tr>
        </w:tbl>
      </w:sdtContent>
    </w:sdt>
    <w:p w14:paraId="3BCC4466" w14:textId="77777777" w:rsidR="008F5CBB" w:rsidRPr="00B11F8E" w:rsidRDefault="008F5CBB" w:rsidP="00B11F8E"/>
    <w:sectPr w:rsidR="008F5CBB" w:rsidRPr="00B11F8E" w:rsidSect="001B5073">
      <w:footerReference w:type="default" r:id="rId10"/>
      <w:footerReference w:type="first" r:id="rId11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62E4" w14:textId="77777777" w:rsidR="009E574A" w:rsidRDefault="009E574A" w:rsidP="003432CA">
      <w:r>
        <w:separator/>
      </w:r>
    </w:p>
    <w:p w14:paraId="7E9AA808" w14:textId="77777777" w:rsidR="009E574A" w:rsidRDefault="009E574A"/>
  </w:endnote>
  <w:endnote w:type="continuationSeparator" w:id="0">
    <w:p w14:paraId="7556148A" w14:textId="77777777" w:rsidR="009E574A" w:rsidRDefault="009E574A" w:rsidP="003432CA">
      <w:r>
        <w:continuationSeparator/>
      </w:r>
    </w:p>
    <w:p w14:paraId="025EF629" w14:textId="77777777" w:rsidR="009E574A" w:rsidRDefault="009E5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2891" w14:textId="20893930" w:rsidR="004C5027" w:rsidRDefault="00505ECF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573BF">
          <w:t>DLI grant budget request form</w:t>
        </w:r>
      </w:sdtContent>
    </w:sdt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C16F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0DBF7606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3E15" w14:textId="77777777" w:rsidR="009E574A" w:rsidRDefault="009E574A" w:rsidP="003432CA">
      <w:r>
        <w:separator/>
      </w:r>
    </w:p>
    <w:p w14:paraId="104C719D" w14:textId="77777777" w:rsidR="009E574A" w:rsidRDefault="009E574A"/>
  </w:footnote>
  <w:footnote w:type="continuationSeparator" w:id="0">
    <w:p w14:paraId="66175311" w14:textId="77777777" w:rsidR="009E574A" w:rsidRDefault="009E574A" w:rsidP="003432CA">
      <w:r>
        <w:continuationSeparator/>
      </w:r>
    </w:p>
    <w:p w14:paraId="27DA9136" w14:textId="77777777" w:rsidR="009E574A" w:rsidRDefault="009E57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35pt;height:25.8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111767">
    <w:abstractNumId w:val="3"/>
  </w:num>
  <w:num w:numId="2" w16cid:durableId="480970882">
    <w:abstractNumId w:val="6"/>
  </w:num>
  <w:num w:numId="3" w16cid:durableId="2033145517">
    <w:abstractNumId w:val="24"/>
  </w:num>
  <w:num w:numId="4" w16cid:durableId="473109818">
    <w:abstractNumId w:val="22"/>
  </w:num>
  <w:num w:numId="5" w16cid:durableId="1561285640">
    <w:abstractNumId w:val="17"/>
  </w:num>
  <w:num w:numId="6" w16cid:durableId="935403002">
    <w:abstractNumId w:val="4"/>
  </w:num>
  <w:num w:numId="7" w16cid:durableId="903368211">
    <w:abstractNumId w:val="13"/>
  </w:num>
  <w:num w:numId="8" w16cid:durableId="1740711338">
    <w:abstractNumId w:val="7"/>
  </w:num>
  <w:num w:numId="9" w16cid:durableId="878933991">
    <w:abstractNumId w:val="11"/>
  </w:num>
  <w:num w:numId="10" w16cid:durableId="419909577">
    <w:abstractNumId w:val="2"/>
  </w:num>
  <w:num w:numId="11" w16cid:durableId="11300693">
    <w:abstractNumId w:val="2"/>
  </w:num>
  <w:num w:numId="12" w16cid:durableId="360085375">
    <w:abstractNumId w:val="25"/>
  </w:num>
  <w:num w:numId="13" w16cid:durableId="1473906058">
    <w:abstractNumId w:val="26"/>
  </w:num>
  <w:num w:numId="14" w16cid:durableId="1746412869">
    <w:abstractNumId w:val="16"/>
  </w:num>
  <w:num w:numId="15" w16cid:durableId="67508590">
    <w:abstractNumId w:val="2"/>
  </w:num>
  <w:num w:numId="16" w16cid:durableId="173691868">
    <w:abstractNumId w:val="26"/>
  </w:num>
  <w:num w:numId="17" w16cid:durableId="539511065">
    <w:abstractNumId w:val="16"/>
  </w:num>
  <w:num w:numId="18" w16cid:durableId="1810780300">
    <w:abstractNumId w:val="10"/>
  </w:num>
  <w:num w:numId="19" w16cid:durableId="1909686189">
    <w:abstractNumId w:val="5"/>
  </w:num>
  <w:num w:numId="20" w16cid:durableId="1878350014">
    <w:abstractNumId w:val="1"/>
  </w:num>
  <w:num w:numId="21" w16cid:durableId="1880778986">
    <w:abstractNumId w:val="0"/>
  </w:num>
  <w:num w:numId="22" w16cid:durableId="207954712">
    <w:abstractNumId w:val="8"/>
  </w:num>
  <w:num w:numId="23" w16cid:durableId="744374631">
    <w:abstractNumId w:val="21"/>
  </w:num>
  <w:num w:numId="24" w16cid:durableId="7801756">
    <w:abstractNumId w:val="23"/>
  </w:num>
  <w:num w:numId="25" w16cid:durableId="518356360">
    <w:abstractNumId w:val="14"/>
  </w:num>
  <w:num w:numId="26" w16cid:durableId="1513884583">
    <w:abstractNumId w:val="9"/>
  </w:num>
  <w:num w:numId="27" w16cid:durableId="1649749212">
    <w:abstractNumId w:val="19"/>
  </w:num>
  <w:num w:numId="28" w16cid:durableId="2143840829">
    <w:abstractNumId w:val="23"/>
  </w:num>
  <w:num w:numId="29" w16cid:durableId="1361782652">
    <w:abstractNumId w:val="23"/>
  </w:num>
  <w:num w:numId="30" w16cid:durableId="1456370164">
    <w:abstractNumId w:val="20"/>
  </w:num>
  <w:num w:numId="31" w16cid:durableId="1737705943">
    <w:abstractNumId w:val="12"/>
  </w:num>
  <w:num w:numId="32" w16cid:durableId="1799643481">
    <w:abstractNumId w:val="15"/>
  </w:num>
  <w:num w:numId="33" w16cid:durableId="222260237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4A"/>
    <w:rsid w:val="00002DEC"/>
    <w:rsid w:val="00006359"/>
    <w:rsid w:val="000065AC"/>
    <w:rsid w:val="00006A0A"/>
    <w:rsid w:val="000324DB"/>
    <w:rsid w:val="00037E5C"/>
    <w:rsid w:val="0004311B"/>
    <w:rsid w:val="000604A4"/>
    <w:rsid w:val="00064B90"/>
    <w:rsid w:val="0007374A"/>
    <w:rsid w:val="00080404"/>
    <w:rsid w:val="00084742"/>
    <w:rsid w:val="000931E5"/>
    <w:rsid w:val="00095F66"/>
    <w:rsid w:val="000A27CF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0575D"/>
    <w:rsid w:val="00210261"/>
    <w:rsid w:val="00211CA3"/>
    <w:rsid w:val="00222A49"/>
    <w:rsid w:val="0022552E"/>
    <w:rsid w:val="00226BD8"/>
    <w:rsid w:val="00241FE9"/>
    <w:rsid w:val="00243CB2"/>
    <w:rsid w:val="002574CF"/>
    <w:rsid w:val="00261247"/>
    <w:rsid w:val="002624DC"/>
    <w:rsid w:val="00264652"/>
    <w:rsid w:val="00272E52"/>
    <w:rsid w:val="0027708D"/>
    <w:rsid w:val="00282084"/>
    <w:rsid w:val="00291052"/>
    <w:rsid w:val="002B13C8"/>
    <w:rsid w:val="002B42F9"/>
    <w:rsid w:val="002B5E79"/>
    <w:rsid w:val="002C0859"/>
    <w:rsid w:val="002D7CF1"/>
    <w:rsid w:val="002E5107"/>
    <w:rsid w:val="002F1947"/>
    <w:rsid w:val="002F7138"/>
    <w:rsid w:val="00306D94"/>
    <w:rsid w:val="003125DF"/>
    <w:rsid w:val="00335736"/>
    <w:rsid w:val="003432CA"/>
    <w:rsid w:val="003563D2"/>
    <w:rsid w:val="00376FA5"/>
    <w:rsid w:val="00385911"/>
    <w:rsid w:val="003872A3"/>
    <w:rsid w:val="00393141"/>
    <w:rsid w:val="003963B0"/>
    <w:rsid w:val="003A1479"/>
    <w:rsid w:val="003A1813"/>
    <w:rsid w:val="003A495C"/>
    <w:rsid w:val="003A563D"/>
    <w:rsid w:val="003B3ADC"/>
    <w:rsid w:val="003B7D82"/>
    <w:rsid w:val="003C4644"/>
    <w:rsid w:val="003C5BE3"/>
    <w:rsid w:val="003F78A4"/>
    <w:rsid w:val="00413A7C"/>
    <w:rsid w:val="004141DD"/>
    <w:rsid w:val="00434A3D"/>
    <w:rsid w:val="00461804"/>
    <w:rsid w:val="00466810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05ECF"/>
    <w:rsid w:val="00513049"/>
    <w:rsid w:val="00514788"/>
    <w:rsid w:val="00520A45"/>
    <w:rsid w:val="0052300E"/>
    <w:rsid w:val="0054371B"/>
    <w:rsid w:val="00545944"/>
    <w:rsid w:val="0056615E"/>
    <w:rsid w:val="005666F2"/>
    <w:rsid w:val="005707C9"/>
    <w:rsid w:val="00572D84"/>
    <w:rsid w:val="005B2A7E"/>
    <w:rsid w:val="005B2DDF"/>
    <w:rsid w:val="005B4AE7"/>
    <w:rsid w:val="005B4E4E"/>
    <w:rsid w:val="005B53B0"/>
    <w:rsid w:val="005D4207"/>
    <w:rsid w:val="005D454C"/>
    <w:rsid w:val="005D45B3"/>
    <w:rsid w:val="005E370D"/>
    <w:rsid w:val="005F6005"/>
    <w:rsid w:val="006064AB"/>
    <w:rsid w:val="00617767"/>
    <w:rsid w:val="00622BB5"/>
    <w:rsid w:val="00623D2D"/>
    <w:rsid w:val="006526E4"/>
    <w:rsid w:val="00655345"/>
    <w:rsid w:val="00671238"/>
    <w:rsid w:val="00672536"/>
    <w:rsid w:val="00672A42"/>
    <w:rsid w:val="00681EDC"/>
    <w:rsid w:val="0068649F"/>
    <w:rsid w:val="00687189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F3B38"/>
    <w:rsid w:val="00706341"/>
    <w:rsid w:val="007137A4"/>
    <w:rsid w:val="0074320F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D7127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B5443"/>
    <w:rsid w:val="008C7EEB"/>
    <w:rsid w:val="008D0DEF"/>
    <w:rsid w:val="008D2256"/>
    <w:rsid w:val="008D5E3D"/>
    <w:rsid w:val="008D5F9A"/>
    <w:rsid w:val="008F5369"/>
    <w:rsid w:val="008F5CBB"/>
    <w:rsid w:val="0090737A"/>
    <w:rsid w:val="00912F27"/>
    <w:rsid w:val="00914F5A"/>
    <w:rsid w:val="009254B9"/>
    <w:rsid w:val="00927274"/>
    <w:rsid w:val="0096108C"/>
    <w:rsid w:val="00963BA0"/>
    <w:rsid w:val="00967764"/>
    <w:rsid w:val="009810EE"/>
    <w:rsid w:val="00984051"/>
    <w:rsid w:val="00984CC9"/>
    <w:rsid w:val="0099233F"/>
    <w:rsid w:val="009B3BAB"/>
    <w:rsid w:val="009B54A0"/>
    <w:rsid w:val="009C6405"/>
    <w:rsid w:val="009C76CF"/>
    <w:rsid w:val="009D4555"/>
    <w:rsid w:val="009E574A"/>
    <w:rsid w:val="009F478E"/>
    <w:rsid w:val="009F66B6"/>
    <w:rsid w:val="00A16AA0"/>
    <w:rsid w:val="00A30799"/>
    <w:rsid w:val="00A43F31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93C"/>
    <w:rsid w:val="00AE5772"/>
    <w:rsid w:val="00AF22AD"/>
    <w:rsid w:val="00AF5107"/>
    <w:rsid w:val="00B06264"/>
    <w:rsid w:val="00B07C8F"/>
    <w:rsid w:val="00B11F8E"/>
    <w:rsid w:val="00B275D4"/>
    <w:rsid w:val="00B33562"/>
    <w:rsid w:val="00B55C6B"/>
    <w:rsid w:val="00B61E1A"/>
    <w:rsid w:val="00B75051"/>
    <w:rsid w:val="00B859DE"/>
    <w:rsid w:val="00B92705"/>
    <w:rsid w:val="00BB119C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82AED"/>
    <w:rsid w:val="00C851F4"/>
    <w:rsid w:val="00C87504"/>
    <w:rsid w:val="00CE40B4"/>
    <w:rsid w:val="00CE45B0"/>
    <w:rsid w:val="00CF143A"/>
    <w:rsid w:val="00D0014D"/>
    <w:rsid w:val="00D158B0"/>
    <w:rsid w:val="00D22819"/>
    <w:rsid w:val="00D40C6A"/>
    <w:rsid w:val="00D42632"/>
    <w:rsid w:val="00D50D28"/>
    <w:rsid w:val="00D511F0"/>
    <w:rsid w:val="00D54EE5"/>
    <w:rsid w:val="00D63F82"/>
    <w:rsid w:val="00D640FC"/>
    <w:rsid w:val="00D70F7D"/>
    <w:rsid w:val="00D91CA0"/>
    <w:rsid w:val="00D92929"/>
    <w:rsid w:val="00D93C2E"/>
    <w:rsid w:val="00D970A5"/>
    <w:rsid w:val="00DA641C"/>
    <w:rsid w:val="00DB4967"/>
    <w:rsid w:val="00DD2D53"/>
    <w:rsid w:val="00DE50CB"/>
    <w:rsid w:val="00E120FB"/>
    <w:rsid w:val="00E206AE"/>
    <w:rsid w:val="00E23263"/>
    <w:rsid w:val="00E23397"/>
    <w:rsid w:val="00E32CD7"/>
    <w:rsid w:val="00E36B57"/>
    <w:rsid w:val="00E425FE"/>
    <w:rsid w:val="00E44EE1"/>
    <w:rsid w:val="00E46478"/>
    <w:rsid w:val="00E5241D"/>
    <w:rsid w:val="00E5680C"/>
    <w:rsid w:val="00E61A16"/>
    <w:rsid w:val="00E7537E"/>
    <w:rsid w:val="00E76267"/>
    <w:rsid w:val="00E91DCD"/>
    <w:rsid w:val="00E97E97"/>
    <w:rsid w:val="00EA535B"/>
    <w:rsid w:val="00EB35FE"/>
    <w:rsid w:val="00EC56D6"/>
    <w:rsid w:val="00EC579D"/>
    <w:rsid w:val="00ED5BDC"/>
    <w:rsid w:val="00ED7DAC"/>
    <w:rsid w:val="00F067A6"/>
    <w:rsid w:val="00F20B25"/>
    <w:rsid w:val="00F3128A"/>
    <w:rsid w:val="00F334CD"/>
    <w:rsid w:val="00F573BF"/>
    <w:rsid w:val="00F57BBE"/>
    <w:rsid w:val="00F70C03"/>
    <w:rsid w:val="00F9084A"/>
    <w:rsid w:val="00F97F8B"/>
    <w:rsid w:val="00FA554F"/>
    <w:rsid w:val="00FB427D"/>
    <w:rsid w:val="00FB6E40"/>
    <w:rsid w:val="00FB75C5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."/>
  <w:listSeparator w:val=","/>
  <w14:docId w14:val="6D6B05EA"/>
  <w15:docId w15:val="{15F128F0-663A-4E80-8D8F-2E958628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CBB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B11F8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F5CBB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F5CBB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8F5CBB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8F5CBB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8F5CBB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1F8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F5CBB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F5CBB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F5CBB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8F5CBB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8F5CBB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931E5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8F5CBB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8F5CBB"/>
    <w:pPr>
      <w:spacing w:before="240"/>
    </w:pPr>
    <w:rPr>
      <w:szCs w:val="20"/>
    </w:rPr>
  </w:style>
  <w:style w:type="character" w:customStyle="1" w:styleId="NormalFollowingTableChar">
    <w:name w:val="Normal Following Table Char"/>
    <w:basedOn w:val="DefaultParagraphFont"/>
    <w:link w:val="NormalFollowingTable"/>
    <w:rsid w:val="008F5CBB"/>
    <w:rPr>
      <w:szCs w:val="20"/>
    </w:rPr>
  </w:style>
  <w:style w:type="character" w:customStyle="1" w:styleId="Bold">
    <w:name w:val="Bold"/>
    <w:basedOn w:val="DefaultParagraphFont"/>
    <w:uiPriority w:val="2"/>
    <w:qFormat/>
    <w:rsid w:val="000931E5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931E5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931E5"/>
    <w:rPr>
      <w:u w:val="single"/>
    </w:rPr>
  </w:style>
  <w:style w:type="table" w:styleId="TableGridLight">
    <w:name w:val="Grid Table Light"/>
    <w:basedOn w:val="TableNormal"/>
    <w:uiPriority w:val="40"/>
    <w:rsid w:val="009E574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57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73BF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n.gov/mmb/employee-relations/labor-relations/labor/commissioners-plan.js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homp\appdata\local\microsoft\office\MN_DLI_Templates\DLI%20template%20-%20blank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DLI template - blank</Template>
  <TotalTime>549</TotalTime>
  <Pages>2</Pages>
  <Words>482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DLI grant budget request form</vt:lpstr>
    </vt:vector>
  </TitlesOfParts>
  <Manager/>
  <Company>State of Minnesota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DLI grant budget request form</dc:title>
  <dc:subject>Grants</dc:subject>
  <dc:creator>Minnesota Department of Labor and Industry</dc:creator>
  <cp:keywords/>
  <dc:description/>
  <cp:lastModifiedBy>Thompson, Chris (DLI)</cp:lastModifiedBy>
  <cp:revision>12</cp:revision>
  <dcterms:created xsi:type="dcterms:W3CDTF">2025-10-30T14:53:00Z</dcterms:created>
  <dcterms:modified xsi:type="dcterms:W3CDTF">2026-05-08T13:04:00Z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</Properties>
</file>